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7195d1_6k.htm"/>
      <w:bookmarkStart w:id="1" w:name="kstm2627195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001-41431</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Polestar Automotive Holding UK PLC</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Assar Gabrielssons Väg 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405 31 Göteborg, Sweden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REPORT ON FORM 6-K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8, 2026, Polestar Automotive Holding UK PLC (“Polestar”) issued a press release announcing its preliminary estimates for global volumes for the third quarter of 2026. A copy of the press release is attached hereto as Exhibit 99.1.</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99.1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INDEX </w:t>
      </w:r>
    </w:p>
    <w:p>
      <w:pPr>
        <w:pStyle w:val="TextBody"/>
        <w:bidi w:val="0"/>
        <w:spacing w:before="0" w:after="0"/>
        <w:ind w:left="0" w:right="0" w:hanging="0"/>
        <w:jc w:val="left"/>
        <w:rPr>
          <w:caps w:val="false"/>
          <w:smallCaps w:val="false"/>
        </w:rPr>
      </w:pPr>
      <w:r>
        <w:rPr>
          <w:caps w:val="false"/>
          <w:smallCaps w:val="false"/>
        </w:rPr>
        <w:t> </w:t>
      </w:r>
    </w:p>
    <w:tbl>
      <w:tblPr>
        <w:tblW w:w="7465" w:type="dxa"/>
        <w:jc w:val="left"/>
        <w:tblInd w:w="0" w:type="dxa"/>
        <w:tblLayout w:type="fixed"/>
        <w:tblCellMar>
          <w:top w:w="0" w:type="dxa"/>
          <w:left w:w="0" w:type="dxa"/>
          <w:bottom w:w="28" w:type="dxa"/>
          <w:right w:w="0" w:type="dxa"/>
        </w:tblCellMar>
      </w:tblPr>
      <w:tblGrid>
        <w:gridCol w:w="995"/>
        <w:gridCol w:w="60"/>
        <w:gridCol w:w="6410"/>
      </w:tblGrid>
      <w:tr>
        <w:trPr/>
        <w:tc>
          <w:tcPr>
            <w:tcW w:w="995" w:type="dxa"/>
            <w:tcBorders>
              <w:bottom w:val="single" w:sz="8"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410" w:type="dxa"/>
            <w:tcBorders>
              <w:bottom w:val="single" w:sz="8" w:space="0" w:color="000000"/>
            </w:tcBorders>
            <w:vAlign w:val="center"/>
          </w:tcPr>
          <w:p>
            <w:pPr>
              <w:pStyle w:val="TableContents"/>
              <w:bidi w:val="0"/>
              <w:spacing w:before="0" w:after="283"/>
              <w:jc w:val="center"/>
              <w:rPr>
                <w:b/>
                <w:sz w:val="20"/>
              </w:rPr>
            </w:pPr>
            <w:r>
              <w:rPr>
                <w:b/>
                <w:sz w:val="20"/>
              </w:rPr>
              <w:t>Description of Exhibit</w:t>
            </w:r>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10"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left"/>
              <w:rPr/>
            </w:pPr>
            <w:hyperlink w:anchor="tm2627195d1_ex99-1.htm">
              <w:r>
                <w:rPr>
                  <w:rStyle w:val="InternetLink"/>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6410" w:type="dxa"/>
            <w:tcBorders/>
            <w:tcMar>
              <w:bottom w:w="0" w:type="dxa"/>
            </w:tcMar>
            <w:vAlign w:val="center"/>
          </w:tcPr>
          <w:p>
            <w:pPr>
              <w:pStyle w:val="TableContents"/>
              <w:bidi w:val="0"/>
              <w:spacing w:before="0" w:after="283"/>
              <w:jc w:val="left"/>
              <w:rPr/>
            </w:pPr>
            <w:hyperlink w:anchor="tm2627195d1_ex99-1.htm">
              <w:r>
                <w:rPr>
                  <w:rStyle w:val="InternetLink"/>
                  <w:sz w:val="20"/>
                </w:rPr>
                <w:t>Press Release of Polestar Automotive Holding UK PLC, dated October 8,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054" w:type="dxa"/>
        <w:jc w:val="left"/>
        <w:tblInd w:w="0" w:type="dxa"/>
        <w:tblLayout w:type="fixed"/>
        <w:tblCellMar>
          <w:top w:w="0" w:type="dxa"/>
          <w:left w:w="0" w:type="dxa"/>
          <w:bottom w:w="0" w:type="dxa"/>
          <w:right w:w="0" w:type="dxa"/>
        </w:tblCellMar>
      </w:tblPr>
      <w:tblGrid>
        <w:gridCol w:w="1820"/>
        <w:gridCol w:w="794"/>
        <w:gridCol w:w="3440"/>
      </w:tblGrid>
      <w:tr>
        <w:trPr/>
        <w:tc>
          <w:tcPr>
            <w:tcW w:w="1820" w:type="dxa"/>
            <w:tcBorders/>
            <w:vAlign w:val="center"/>
          </w:tcPr>
          <w:p>
            <w:pPr>
              <w:pStyle w:val="TableContents"/>
              <w:bidi w:val="0"/>
              <w:spacing w:before="0" w:after="283"/>
              <w:jc w:val="left"/>
              <w:rPr/>
            </w:pPr>
            <w:r>
              <w:rPr/>
              <w:t> </w:t>
            </w:r>
          </w:p>
        </w:tc>
        <w:tc>
          <w:tcPr>
            <w:tcW w:w="4234" w:type="dxa"/>
            <w:gridSpan w:val="2"/>
            <w:tcBorders/>
            <w:vAlign w:val="center"/>
          </w:tcPr>
          <w:p>
            <w:pPr>
              <w:pStyle w:val="TableContents"/>
              <w:bidi w:val="0"/>
              <w:spacing w:before="0" w:after="283"/>
              <w:jc w:val="left"/>
              <w:rPr>
                <w:b/>
                <w:sz w:val="20"/>
              </w:rPr>
            </w:pPr>
            <w:r>
              <w:rPr>
                <w:b/>
                <w:sz w:val="20"/>
              </w:rPr>
              <w:t>POLESTAR AUTOMOTIVE HOLDING UK PLC</w:t>
            </w:r>
          </w:p>
        </w:tc>
      </w:tr>
      <w:tr>
        <w:trPr/>
        <w:tc>
          <w:tcPr>
            <w:tcW w:w="1820" w:type="dxa"/>
            <w:tcBorders/>
            <w:vAlign w:val="center"/>
          </w:tcPr>
          <w:p>
            <w:pPr>
              <w:pStyle w:val="TableContents"/>
              <w:bidi w:val="0"/>
              <w:spacing w:before="0" w:after="283"/>
              <w:jc w:val="left"/>
              <w:rPr/>
            </w:pPr>
            <w:r>
              <w:rPr/>
              <w:t> </w:t>
            </w:r>
          </w:p>
        </w:tc>
        <w:tc>
          <w:tcPr>
            <w:tcW w:w="4234" w:type="dxa"/>
            <w:gridSpan w:val="2"/>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sz w:val="20"/>
              </w:rPr>
            </w:pPr>
            <w:r>
              <w:rPr>
                <w:sz w:val="20"/>
              </w:rPr>
              <w:t>Date: October 8, 2026</w:t>
            </w:r>
          </w:p>
        </w:tc>
        <w:tc>
          <w:tcPr>
            <w:tcW w:w="794" w:type="dxa"/>
            <w:tcBorders/>
            <w:vAlign w:val="center"/>
          </w:tcPr>
          <w:p>
            <w:pPr>
              <w:pStyle w:val="TableContents"/>
              <w:bidi w:val="0"/>
              <w:spacing w:before="0" w:after="283"/>
              <w:jc w:val="left"/>
              <w:rPr>
                <w:sz w:val="20"/>
              </w:rPr>
            </w:pPr>
            <w:r>
              <w:rPr>
                <w:sz w:val="20"/>
              </w:rPr>
              <w:t>By:</w:t>
            </w:r>
          </w:p>
        </w:tc>
        <w:tc>
          <w:tcPr>
            <w:tcW w:w="3440" w:type="dxa"/>
            <w:tcBorders>
              <w:bottom w:val="single" w:sz="8" w:space="0" w:color="000000"/>
            </w:tcBorders>
            <w:tcMar>
              <w:bottom w:w="28" w:type="dxa"/>
            </w:tcMar>
            <w:vAlign w:val="center"/>
          </w:tcPr>
          <w:p>
            <w:pPr>
              <w:pStyle w:val="TableContents"/>
              <w:bidi w:val="0"/>
              <w:spacing w:before="0" w:after="283"/>
              <w:jc w:val="left"/>
              <w:rPr/>
            </w:pPr>
            <w:r>
              <w:rPr/>
              <w:t>/s/ Michael Lohscheller  </w:t>
            </w:r>
          </w:p>
        </w:tc>
      </w:tr>
      <w:tr>
        <w:trPr/>
        <w:tc>
          <w:tcPr>
            <w:tcW w:w="1820" w:type="dxa"/>
            <w:tcBorders/>
            <w:vAlign w:val="center"/>
          </w:tcPr>
          <w:p>
            <w:pPr>
              <w:pStyle w:val="TableContents"/>
              <w:bidi w:val="0"/>
              <w:spacing w:before="0" w:after="283"/>
              <w:jc w:val="left"/>
              <w:rPr/>
            </w:pPr>
            <w:r>
              <w:rPr/>
              <w:t> </w:t>
            </w:r>
          </w:p>
        </w:tc>
        <w:tc>
          <w:tcPr>
            <w:tcW w:w="794" w:type="dxa"/>
            <w:tcBorders/>
            <w:vAlign w:val="center"/>
          </w:tcPr>
          <w:p>
            <w:pPr>
              <w:pStyle w:val="TableContents"/>
              <w:bidi w:val="0"/>
              <w:spacing w:before="0" w:after="283"/>
              <w:jc w:val="left"/>
              <w:rPr>
                <w:sz w:val="20"/>
              </w:rPr>
            </w:pPr>
            <w:r>
              <w:rPr>
                <w:sz w:val="20"/>
              </w:rPr>
              <w:t>Name:</w:t>
            </w:r>
          </w:p>
        </w:tc>
        <w:tc>
          <w:tcPr>
            <w:tcW w:w="3440" w:type="dxa"/>
            <w:tcBorders/>
            <w:vAlign w:val="center"/>
          </w:tcPr>
          <w:p>
            <w:pPr>
              <w:pStyle w:val="TableContents"/>
              <w:bidi w:val="0"/>
              <w:spacing w:before="0" w:after="283"/>
              <w:jc w:val="left"/>
              <w:rPr>
                <w:sz w:val="20"/>
              </w:rPr>
            </w:pPr>
            <w:r>
              <w:rPr>
                <w:sz w:val="20"/>
              </w:rPr>
              <w:t>Michael Lohscheller</w:t>
            </w:r>
          </w:p>
        </w:tc>
      </w:tr>
      <w:tr>
        <w:trPr/>
        <w:tc>
          <w:tcPr>
            <w:tcW w:w="1820" w:type="dxa"/>
            <w:tcBorders/>
            <w:vAlign w:val="center"/>
          </w:tcPr>
          <w:p>
            <w:pPr>
              <w:pStyle w:val="TableContents"/>
              <w:bidi w:val="0"/>
              <w:spacing w:before="0" w:after="283"/>
              <w:jc w:val="left"/>
              <w:rPr/>
            </w:pPr>
            <w:r>
              <w:rPr/>
              <w:t> </w:t>
            </w:r>
          </w:p>
        </w:tc>
        <w:tc>
          <w:tcPr>
            <w:tcW w:w="794" w:type="dxa"/>
            <w:tcBorders/>
            <w:vAlign w:val="center"/>
          </w:tcPr>
          <w:p>
            <w:pPr>
              <w:pStyle w:val="TableContents"/>
              <w:bidi w:val="0"/>
              <w:spacing w:before="0" w:after="283"/>
              <w:jc w:val="left"/>
              <w:rPr>
                <w:sz w:val="20"/>
              </w:rPr>
            </w:pPr>
            <w:r>
              <w:rPr>
                <w:sz w:val="20"/>
              </w:rPr>
              <w:t>Title:</w:t>
            </w:r>
          </w:p>
        </w:tc>
        <w:tc>
          <w:tcPr>
            <w:tcW w:w="3440" w:type="dxa"/>
            <w:tcBorders/>
            <w:vAlign w:val="center"/>
          </w:tcPr>
          <w:p>
            <w:pPr>
              <w:pStyle w:val="TableContents"/>
              <w:bidi w:val="0"/>
              <w:spacing w:before="0" w:after="283"/>
              <w:jc w:val="left"/>
              <w:rPr>
                <w:sz w:val="20"/>
              </w:rPr>
            </w:pPr>
            <w:r>
              <w:rPr>
                <w:sz w:val="20"/>
              </w:rPr>
              <w:t>Chief Executive Officer</w:t>
            </w:r>
          </w:p>
        </w:tc>
      </w:tr>
      <w:tr>
        <w:trPr/>
        <w:tc>
          <w:tcPr>
            <w:tcW w:w="1820" w:type="dxa"/>
            <w:tcBorders/>
            <w:vAlign w:val="center"/>
          </w:tcPr>
          <w:p>
            <w:pPr>
              <w:pStyle w:val="TableContents"/>
              <w:bidi w:val="0"/>
              <w:spacing w:before="0" w:after="283"/>
              <w:jc w:val="left"/>
              <w:rPr/>
            </w:pPr>
            <w:r>
              <w:rPr/>
              <w:t> </w:t>
            </w:r>
          </w:p>
        </w:tc>
        <w:tc>
          <w:tcPr>
            <w:tcW w:w="794"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sz w:val="20"/>
              </w:rPr>
            </w:pPr>
            <w:r>
              <w:rPr>
                <w:sz w:val="20"/>
              </w:rPr>
              <w:t>Date: October 8, 2026</w:t>
            </w:r>
          </w:p>
        </w:tc>
        <w:tc>
          <w:tcPr>
            <w:tcW w:w="794" w:type="dxa"/>
            <w:tcBorders/>
            <w:vAlign w:val="center"/>
          </w:tcPr>
          <w:p>
            <w:pPr>
              <w:pStyle w:val="TableContents"/>
              <w:bidi w:val="0"/>
              <w:spacing w:before="0" w:after="283"/>
              <w:jc w:val="left"/>
              <w:rPr>
                <w:sz w:val="20"/>
              </w:rPr>
            </w:pPr>
            <w:r>
              <w:rPr>
                <w:sz w:val="20"/>
              </w:rPr>
              <w:t>By:</w:t>
            </w:r>
          </w:p>
        </w:tc>
        <w:tc>
          <w:tcPr>
            <w:tcW w:w="344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Jean-François Mady</w:t>
            </w:r>
          </w:p>
        </w:tc>
      </w:tr>
      <w:tr>
        <w:trPr/>
        <w:tc>
          <w:tcPr>
            <w:tcW w:w="1820" w:type="dxa"/>
            <w:tcBorders/>
            <w:vAlign w:val="center"/>
          </w:tcPr>
          <w:p>
            <w:pPr>
              <w:pStyle w:val="TableContents"/>
              <w:bidi w:val="0"/>
              <w:spacing w:before="0" w:after="283"/>
              <w:jc w:val="left"/>
              <w:rPr/>
            </w:pPr>
            <w:r>
              <w:rPr/>
              <w:t> </w:t>
            </w:r>
          </w:p>
        </w:tc>
        <w:tc>
          <w:tcPr>
            <w:tcW w:w="794" w:type="dxa"/>
            <w:tcBorders/>
            <w:vAlign w:val="center"/>
          </w:tcPr>
          <w:p>
            <w:pPr>
              <w:pStyle w:val="TableContents"/>
              <w:bidi w:val="0"/>
              <w:spacing w:before="0" w:after="283"/>
              <w:jc w:val="left"/>
              <w:rPr>
                <w:sz w:val="20"/>
              </w:rPr>
            </w:pPr>
            <w:r>
              <w:rPr>
                <w:sz w:val="20"/>
              </w:rPr>
              <w:t>Name:</w:t>
            </w:r>
          </w:p>
        </w:tc>
        <w:tc>
          <w:tcPr>
            <w:tcW w:w="3440" w:type="dxa"/>
            <w:tcBorders/>
            <w:vAlign w:val="center"/>
          </w:tcPr>
          <w:p>
            <w:pPr>
              <w:pStyle w:val="TableContents"/>
              <w:bidi w:val="0"/>
              <w:spacing w:before="0" w:after="283"/>
              <w:jc w:val="left"/>
              <w:rPr>
                <w:sz w:val="20"/>
              </w:rPr>
            </w:pPr>
            <w:r>
              <w:rPr>
                <w:sz w:val="20"/>
              </w:rPr>
              <w:t>Jean-François Mady</w:t>
            </w:r>
          </w:p>
        </w:tc>
      </w:tr>
      <w:tr>
        <w:trPr/>
        <w:tc>
          <w:tcPr>
            <w:tcW w:w="1820" w:type="dxa"/>
            <w:tcBorders/>
            <w:vAlign w:val="center"/>
          </w:tcPr>
          <w:p>
            <w:pPr>
              <w:pStyle w:val="TableContents"/>
              <w:bidi w:val="0"/>
              <w:spacing w:before="0" w:after="283"/>
              <w:jc w:val="left"/>
              <w:rPr/>
            </w:pPr>
            <w:r>
              <w:rPr/>
              <w:t> </w:t>
            </w:r>
          </w:p>
        </w:tc>
        <w:tc>
          <w:tcPr>
            <w:tcW w:w="794" w:type="dxa"/>
            <w:tcBorders/>
            <w:vAlign w:val="center"/>
          </w:tcPr>
          <w:p>
            <w:pPr>
              <w:pStyle w:val="TableContents"/>
              <w:bidi w:val="0"/>
              <w:spacing w:before="0" w:after="283"/>
              <w:jc w:val="left"/>
              <w:rPr>
                <w:sz w:val="20"/>
              </w:rPr>
            </w:pPr>
            <w:r>
              <w:rPr>
                <w:sz w:val="20"/>
              </w:rPr>
              <w:t>Title:</w:t>
            </w:r>
          </w:p>
        </w:tc>
        <w:tc>
          <w:tcPr>
            <w:tcW w:w="3440"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7195d1_ex99-1.htm"/>
      <w:bookmarkStart w:id="3" w:name="kstm2627195d1_ex991"/>
      <w:bookmarkEnd w:id="2"/>
      <w:bookmarkEnd w:id="3"/>
      <w:r>
        <w:rPr/>
        <w:t> </w:t>
      </w:r>
      <w:r>
        <w:br w:type="page"/>
      </w:r>
    </w:p>
    <w:p>
      <w:pPr>
        <w:pStyle w:val="TextBody"/>
        <w:bidi w:val="0"/>
        <w:jc w:val="right"/>
        <w:rPr>
          <w:b/>
        </w:rPr>
      </w:pPr>
      <w:r>
        <w:rPr>
          <w:b/>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 cy="228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14375" cy="2286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Polestar reports record nine-month retail sales and its strongest third quarter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183"/>
        <w:gridCol w:w="9960"/>
      </w:tblGrid>
      <w:tr>
        <w:trPr/>
        <w:tc>
          <w:tcPr>
            <w:tcW w:w="6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Best third quarter ever with retail sales of estimated 14,371 cars</w:t>
            </w:r>
          </w:p>
        </w:tc>
      </w:tr>
    </w:tbl>
    <w:tbl>
      <w:tblPr>
        <w:tblW w:w="5000" w:type="pct"/>
        <w:jc w:val="left"/>
        <w:tblInd w:w="0" w:type="dxa"/>
        <w:tblLayout w:type="fixed"/>
        <w:tblCellMar>
          <w:top w:w="0" w:type="dxa"/>
          <w:left w:w="0" w:type="dxa"/>
          <w:bottom w:w="0" w:type="dxa"/>
          <w:right w:w="0" w:type="dxa"/>
        </w:tblCellMar>
      </w:tblPr>
      <w:tblGrid>
        <w:gridCol w:w="53"/>
        <w:gridCol w:w="154"/>
        <w:gridCol w:w="9998"/>
      </w:tblGrid>
      <w:tr>
        <w:trPr/>
        <w:tc>
          <w:tcPr>
            <w:tcW w:w="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98" w:type="dxa"/>
            <w:tcBorders/>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Record retail sales of estimated 44,790 cars in the first nine months of 2026</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GOTHENBURG, SWEDEN – 8 October 2026.</w:t>
      </w:r>
      <w:r>
        <w:rPr>
          <w:rFonts w:ascii="Times New Roman;Times;Serif" w:hAnsi="Times New Roman;Times;Serif"/>
          <w:b w:val="false"/>
          <w:i w:val="false"/>
          <w:caps w:val="false"/>
          <w:smallCaps w:val="false"/>
          <w:sz w:val="20"/>
        </w:rPr>
        <w:t xml:space="preserve"> Polestar (Nasdaq: PSNY) reports retail sales of estimated 14,371 cars in the third quarter and estimated 44,790 cars in the first nine months of 2026, both up around 1% year-on-year.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Lohscheller, Polestar CEO, says: “We delivered our best third quarter despite increasingly challenging market conditions. The start of Polestar 5 customer deliveries marks an important milestone for the company, while the new Polestar 4 SUV broadens our product portfolio and extends our reach to new customer groups entering the D-SUV segment, the largest and most dynamic segment in the European premium EV market.”</w:t>
      </w:r>
    </w:p>
    <w:p>
      <w:pPr>
        <w:pStyle w:val="TextBody"/>
        <w:bidi w:val="0"/>
        <w:spacing w:before="0" w:after="0"/>
        <w:ind w:left="0" w:right="0" w:hanging="0"/>
        <w:jc w:val="left"/>
        <w:rPr>
          <w:caps w:val="false"/>
          <w:smallCaps w:val="false"/>
        </w:rPr>
      </w:pPr>
      <w:r>
        <w:rPr>
          <w:caps w:val="false"/>
          <w:smallCaps w:val="false"/>
        </w:rPr>
        <w:t> </w:t>
      </w:r>
    </w:p>
    <w:tbl>
      <w:tblPr>
        <w:tblW w:w="6680" w:type="dxa"/>
        <w:jc w:val="left"/>
        <w:tblInd w:w="0" w:type="dxa"/>
        <w:tblLayout w:type="fixed"/>
        <w:tblCellMar>
          <w:top w:w="0" w:type="dxa"/>
          <w:left w:w="0" w:type="dxa"/>
          <w:bottom w:w="0" w:type="dxa"/>
          <w:right w:w="0" w:type="dxa"/>
        </w:tblCellMar>
      </w:tblPr>
      <w:tblGrid>
        <w:gridCol w:w="3350"/>
        <w:gridCol w:w="60"/>
        <w:gridCol w:w="1055"/>
        <w:gridCol w:w="60"/>
        <w:gridCol w:w="1055"/>
        <w:gridCol w:w="60"/>
        <w:gridCol w:w="1040"/>
      </w:tblGrid>
      <w:tr>
        <w:trPr/>
        <w:tc>
          <w:tcPr>
            <w:tcW w:w="33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Q1-Q3 2026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Q1-Q3 2025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Retail sales volumes </w:t>
            </w:r>
            <w:r>
              <w:rPr>
                <w:rFonts w:ascii="Times New Roman;Times;Serif" w:hAnsi="Times New Roman;Times;Serif"/>
                <w:b w:val="false"/>
                <w:i/>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44,790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44,511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Retail sales volumes </w:t>
            </w:r>
            <w:r>
              <w:rPr>
                <w:rFonts w:ascii="Times New Roman;Times;Serif" w:hAnsi="Times New Roman;Times;Serif"/>
                <w:b w:val="false"/>
                <w:i/>
                <w:caps w:val="false"/>
                <w:smallCaps w:val="false"/>
                <w:sz w:val="20"/>
              </w:rPr>
              <w:t>(excl. U.S. business)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40,773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40,968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r>
    </w:tbl>
    <w:p>
      <w:pPr>
        <w:pStyle w:val="TextBody"/>
        <w:bidi w:val="0"/>
        <w:spacing w:before="0" w:after="0"/>
        <w:ind w:left="0" w:right="0" w:hanging="0"/>
        <w:jc w:val="left"/>
        <w:rPr>
          <w:caps w:val="false"/>
          <w:smallCaps w:val="false"/>
        </w:rPr>
      </w:pPr>
      <w:r>
        <w:rPr>
          <w:caps w:val="false"/>
          <w:smallCaps w:val="false"/>
        </w:rPr>
        <w:t> </w:t>
      </w:r>
    </w:p>
    <w:tbl>
      <w:tblPr>
        <w:tblW w:w="6050" w:type="dxa"/>
        <w:jc w:val="left"/>
        <w:tblInd w:w="0" w:type="dxa"/>
        <w:tblLayout w:type="fixed"/>
        <w:tblCellMar>
          <w:top w:w="0" w:type="dxa"/>
          <w:left w:w="0" w:type="dxa"/>
          <w:bottom w:w="0" w:type="dxa"/>
          <w:right w:w="0" w:type="dxa"/>
        </w:tblCellMar>
      </w:tblPr>
      <w:tblGrid>
        <w:gridCol w:w="3350"/>
        <w:gridCol w:w="60"/>
        <w:gridCol w:w="740"/>
        <w:gridCol w:w="60"/>
        <w:gridCol w:w="740"/>
        <w:gridCol w:w="60"/>
        <w:gridCol w:w="1040"/>
      </w:tblGrid>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Q3 2026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Q3 2025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Retail sales volumes </w:t>
            </w:r>
            <w:r>
              <w:rPr>
                <w:rFonts w:ascii="Times New Roman;Times;Serif" w:hAnsi="Times New Roman;Times;Serif"/>
                <w:b w:val="false"/>
                <w:i/>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14,371</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14,222</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Retail sales volumes </w:t>
            </w:r>
            <w:r>
              <w:rPr>
                <w:rFonts w:ascii="Times New Roman;Times;Serif" w:hAnsi="Times New Roman;Times;Serif"/>
                <w:b w:val="false"/>
                <w:i/>
                <w:caps w:val="false"/>
                <w:smallCaps w:val="false"/>
                <w:sz w:val="20"/>
              </w:rPr>
              <w:t>(excl. U.S. business)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12,211</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13,256</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addition to total retail sales volumes, retail sales volumes excluding the U.S. are presented separately following the decision by U.S. Authorities in respect of the Connected Vehicle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Retail sales volumes for 2026 are provided on an estimated basis and are subject to revision. Retail sales volumes for 2025 are final.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About Polestar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Polestar (Nasdaq: PSNY) is the Swedish electric performance car brand with a focus on uncompromised design and innovation, and the ambition to accelerate the change towards a sustainable future. Headquartered in Gothenburg, Sweden, its cars are available in 31 markets globally across North America, Europe and Asia Pacific.</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Polestar has five models in its line-up: Polestar 2, Polestar 3, Polestar 4 coupé, Polestar 4 SUV, and Polestar 5. Planned models include the Polestar 2 successor (to be launched in 2027), Polestar 7 compact SUV (to be introduced in 2028) and the Polestar 6 roadster. With its vehicles currently manufactured on two continents, North America and Asia, Polestar plans to diversify its manufacturing footprint further, with production of Polestar 7 planned in Europe.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Polestar has an unwavering commitment to sustainability and has set an ambitious roadmap to reach its climate targets: halve greenhouse gas emissions by 2030 per-vehicle-sold and become climate-neutral across its value chain by 2040. Polestar’s comprehensive sustainability strategy covers the four areas of Climate, Transparency, Circularity, and Inclusion.</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including the timing and completion of the equity investment from the financial institutions and the loan conversion. including the number of vehicle deliveries and gross margin. For example, projections of revenue, volumes, margins, cash flow break-even and other financial or operating metrics and statements regarding expectations of future needs for funding and plans related thereto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 (1) Polestar’s ability to enter into or maintain agreements or partnerships with its strategic partners, including Volvo Cars and Geely, original equipment manufacturers, vendors and technology providers; (2) Polestar’s ability to maintain relationships with its existing suppliers, source new suppliers for its critical components and enter into longer term supply contracts and complete building out its supply chain; (3) Polestar’s ability to raise additional funding; (4) Polestar’s ability to successfully execute cost-cutting activities and strategic efficiency initiatives; (5) Polestar’s estimates of expenses, profitability, gross margin, cash flow, and cash reserves; (6) Polestar’s ability to continue to meet stock exchange listing standards; (7) changes in domestic and foreign business, market, financial, political and legal conditions; (8) demand for Polestar’s vehicles or car sale volumes, revenue and margin development based on pricing, variant and market mix, cost reduction efficiencies, logistics and growing aftersales; (9) delays in the expected timelines for the development, design, manufacture, launch and financing of Polestar’s vehicles and Polestar’s reliance on a limited number of vehicle models to generate revenues; (10) increases in costs, disruption of supply or shortage of materials, in particular for lithium-ion cells or semiconductors; (11) risks related to product recalls, regulatory fines and/or an unexpectedly high volume of warranty claims; (12) 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volumes; (13) the ability of Polestar to grow and manage growth profitably, maintain relationships with customers and suppliers and retain its management and key employees; (14) risks related to future market adoption of Polestar’s offerings; (15) risks related to Polestar’s current distribution model and the evolution of its distribution model in the future; (16) the effects of competition and the high barriers to entry in the automotive industry and the pace and depth of electric vehicle adoption generally on Polestar’s future business; (17) changes in regulatory requirements (including environmental laws and regulations and regulations related to connected vehicles), governmental incentives, tariffs and fuel and energy prices; (18) Polestar’s reliance on the development of vehicle charging networks to provide charging solutions for its vehicles and its strategic partners for servicing its vehicles and their integrated software; (19) Polestar’s ability to establish its brand and capture additional market share, and the risks associated with negative press or reputational harm, including from electric vehicle fires; (20) the outcome of any potential litigation, including litigation involving Polestar and Gores Guggenheim, Inc., government and regulatory proceedings, including the NHTSA investigation into the Polestar 2 rear view camera, tax audits, investigations and inquiries; (21) Polestar’s ability to continuously and rapidly innovate, develop and market new products; (22) the impact of the ongoing conflict between Ukraine and Russia and the conflict with Iran and the conflict in the Red Sea; and (23)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 except as may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1580</Words>
  <Characters>9047</Characters>
  <CharactersWithSpaces>10673</CharactersWithSpaces>
  <Paragraphs>184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