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Polestar Automotive Holding UK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American Depositary Shares ("ADSs"), each ADS representing 30 Class A Ordinary Shares, par value $0.01 each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Standard Chartered Bank (Hong Kong)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9,972,005.00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9,972,005.00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9,972,005.00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BK, 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and 8: Each Class A ADS represents thirty (30) Class A Ordinary Shares, par value $0.01 each. Standard Chartered Bank (Hong Kong) Limited (the "Bank") is a direct, wholly-owned subsidiary of Standard Chartered PLC (the "Parent"). The Bank holds directly 9,972,005 Class A ADSs of the Issuer. Accordingly, as the parent company of the Bank, the Parent may be deemed to share voting and dispositive power over the Class A ADSs of the Issuer held by the Bank. Note to Row 11: Based on (i) 4,898,511,300 Class A Shares in the form of 163,283,710 Class A ADSs and (ii) 29,892,570 Class B Shares in the form of 996,419 Class B ADSs outstanding on June 30, 2026 as disclosed by the Issuer. Each Class B Share is convertible into one Class A Share at any time at the option of the holder of such Class B Share. Assumes the conversion of the Class B Shares referred to above into Class A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Standard Chartered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9,972,005.00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9,972,005.00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9,972,005.00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and 8: Each Class A ADS represents thirty (30) Class A Ordinary Shares, par value $0.01 each. The Bank is a direct, wholly-owned subsidiary of the Parent. The Bank holds directly 9,972,005 Class A ADSs of the Issuer. Accordingly, as the parent company of the Bank, the Parent may be deemed to share voting and dispositive power over the Class A ADSs of the Issuer held by the Bank. Note to Row 11: Based on (i) 4,898,511,300 Class A Shares in the form of 163,283,710 Class A ADSs and (ii) 29,892,570 Class B Shares in the form of 996,419 Class B ADSs outstanding on June 30, 2026, as disclosed by the Issuer. Each Class B Share is convertible into one Class A Share at any time at the option of the holder of such Class B Share. Assumes the conversion of the Class B Shares referred to above into Class A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Polestar Automotive Holding UK PLC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Assar Gabrielssons Vag 9, Gothenburg, V7 405 31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Standard Chartered Bank (Hong Kong) Limited (the "Bank") Standard Chartered PLC (the "Parent")</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Bank is Standard Chartered Bank Building, 4-4A Des Voeux Road, Central, Hong Kong The address of the principal business office of the Parent is 1 Basinghall Avenue, London, United Kingdom EC2V 5DD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The place of organization of the Bank is Hong Kong The place of organization of the Parent is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American Depositary Shares ("ADSs"), each ADS representing 30 Class A Ordinary Shares, par value $0.01 each</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0"/>
              <w:jc w:val="left"/>
              <w:rPr/>
            </w:pPr>
            <w:r>
              <w:rPr/>
              <w:t>Bank</w:t>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9,972,005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9,972,005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9,972,005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Bank is a direct, wholly-owned subsidiary of the Parent and holds directly the Class A ADSs of the Issuer reported herein. Accordingly, the Parent may be deemed to share voting and dispositive power over the Class A ADSs of the Issuer held by the Bank. The Bank is classified under Item 3 as a non-U.S. institution (bank).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Item 10.</w:t>
            </w:r>
          </w:p>
        </w:tc>
        <w:tc>
          <w:tcPr>
            <w:tcW w:w="9040" w:type="dxa"/>
            <w:tcBorders/>
            <w:vAlign w:val="center"/>
          </w:tcPr>
          <w:p>
            <w:pPr>
              <w:pStyle w:val="TableContents"/>
              <w:bidi w:val="0"/>
              <w:spacing w:before="0" w:after="283"/>
              <w:jc w:val="left"/>
              <w:rPr/>
            </w:pPr>
            <w:r>
              <w:rPr/>
              <w:t>Certifications:</w:t>
            </w:r>
          </w:p>
        </w:tc>
      </w:tr>
      <w:tr>
        <w:trPr/>
        <w:tc>
          <w:tcPr>
            <w:tcW w:w="1165"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a bank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736" w:type="dxa"/>
        <w:jc w:val="left"/>
        <w:tblInd w:w="0" w:type="dxa"/>
        <w:tblLayout w:type="fixed"/>
        <w:tblCellMar>
          <w:top w:w="28" w:type="dxa"/>
          <w:left w:w="28" w:type="dxa"/>
          <w:bottom w:w="28" w:type="dxa"/>
          <w:right w:w="28" w:type="dxa"/>
        </w:tblCellMar>
      </w:tblPr>
      <w:tblGrid>
        <w:gridCol w:w="4868"/>
        <w:gridCol w:w="4868"/>
      </w:tblGrid>
      <w:tr>
        <w:trPr/>
        <w:tc>
          <w:tcPr>
            <w:tcW w:w="4868" w:type="dxa"/>
            <w:tcBorders/>
            <w:vAlign w:val="center"/>
          </w:tcPr>
          <w:p>
            <w:pPr>
              <w:pStyle w:val="TableContents"/>
              <w:bidi w:val="0"/>
              <w:spacing w:before="0" w:after="0"/>
              <w:jc w:val="left"/>
              <w:rPr/>
            </w:pPr>
            <w:r>
              <w:rPr/>
              <w:t> </w:t>
            </w:r>
          </w:p>
          <w:tbl>
            <w:tblPr>
              <w:tblW w:w="4711" w:type="dxa"/>
              <w:jc w:val="left"/>
              <w:tblInd w:w="0" w:type="dxa"/>
              <w:tblLayout w:type="fixed"/>
              <w:tblCellMar>
                <w:top w:w="28" w:type="dxa"/>
                <w:left w:w="28" w:type="dxa"/>
                <w:bottom w:w="28" w:type="dxa"/>
                <w:right w:w="28" w:type="dxa"/>
              </w:tblCellMar>
            </w:tblPr>
            <w:tblGrid>
              <w:gridCol w:w="4711"/>
            </w:tblGrid>
            <w:tr>
              <w:trPr/>
              <w:tc>
                <w:tcPr>
                  <w:tcW w:w="4711" w:type="dxa"/>
                  <w:tcBorders/>
                  <w:vAlign w:val="center"/>
                </w:tcPr>
                <w:p>
                  <w:pPr>
                    <w:pStyle w:val="TableContents"/>
                    <w:bidi w:val="0"/>
                    <w:spacing w:before="0" w:after="0"/>
                    <w:jc w:val="left"/>
                    <w:rPr/>
                  </w:pPr>
                  <w:r>
                    <w:rPr/>
                    <w:t>Standard Chartered Bank (Hong Kong) Limited</w:t>
                  </w:r>
                </w:p>
              </w:tc>
            </w:tr>
          </w:tbl>
          <w:p>
            <w:pPr>
              <w:pStyle w:val="TableContents"/>
              <w:bidi w:val="0"/>
              <w:spacing w:before="0" w:after="283"/>
              <w:jc w:val="left"/>
              <w:rPr/>
            </w:pPr>
            <w:r>
              <w:rPr/>
            </w:r>
          </w:p>
        </w:tc>
        <w:tc>
          <w:tcPr>
            <w:tcW w:w="48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2"/>
        <w:gridCol w:w="4293"/>
      </w:tblGrid>
      <w:tr>
        <w:trPr/>
        <w:tc>
          <w:tcPr>
            <w:tcW w:w="591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Steven K. Choe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Steven K. Choe / Managing Director, Global Head, Equity Financing and Derivatives</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93"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Standard Chartered PLC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Scott Corrigan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Scott Corrigan / Group Company Secretary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dated May 12, 2026, entered into by the Reporting Persons (incorporated by reference to Exhibit 99.1 to the Schedule 13G filed by the Reporting Persons on May 12, 2026 (SEC File No. 005-93708)). https://www.sec.gov/Archives/edgar/data/1884082/000110465926059114/tm2613653d1_ex99-1.htm</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1513</Words>
  <Characters>7667</Characters>
  <CharactersWithSpaces>9148</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