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ind w:left="0" w:right="0" w:hanging="360"/>
        <w:jc w:val="both"/>
        <w:rPr/>
      </w:pPr>
      <w:r>
        <w:rPr/>
      </w:r>
    </w:p>
    <w:p>
      <w:pPr>
        <w:pStyle w:val="TextBody"/>
        <w:bidi w:val="0"/>
        <w:spacing w:before="0" w:after="0"/>
        <w:jc w:val="center"/>
        <w:rPr/>
      </w:pPr>
      <w:r>
        <w:rPr/>
        <w:drawing>
          <wp:inline distT="0" distB="0" distL="0" distR="0">
            <wp:extent cx="7077075" cy="146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077075" cy="14605"/>
                    </a:xfrm>
                    <a:prstGeom prst="rect">
                      <a:avLst/>
                    </a:prstGeom>
                  </pic:spPr>
                </pic:pic>
              </a:graphicData>
            </a:graphic>
          </wp:inline>
        </w:drawing>
      </w:r>
      <w:bookmarkStart w:id="0" w:name="i-1"/>
      <w:bookmarkEnd w:id="0"/>
    </w:p>
    <w:p>
      <w:pPr>
        <w:pStyle w:val="TextBody"/>
        <w:bidi w:val="0"/>
        <w:spacing w:before="0" w:after="0"/>
        <w:jc w:val="center"/>
        <w:rPr/>
      </w:pPr>
      <w:r>
        <w:rPr/>
        <w:drawing>
          <wp:inline distT="0" distB="0" distL="0" distR="0">
            <wp:extent cx="7077075" cy="146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077075" cy="14605"/>
                    </a:xfrm>
                    <a:prstGeom prst="rect">
                      <a:avLst/>
                    </a:prstGeom>
                  </pic:spPr>
                </pic:pic>
              </a:graphicData>
            </a:graphic>
          </wp:inline>
        </w:drawing>
      </w:r>
      <w:bookmarkStart w:id="1" w:name="i-2"/>
      <w:bookmarkEnd w:id="1"/>
    </w:p>
    <w:p>
      <w:pPr>
        <w:pStyle w:val="TextBody"/>
        <w:bidi w:val="0"/>
        <w:spacing w:lineRule="auto" w:line="240" w:before="0" w:after="2"/>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6" w:after="283"/>
        <w:jc w:val="center"/>
        <w:rPr/>
      </w:pPr>
      <w:r>
        <w:rPr/>
      </w:r>
    </w:p>
    <w:p>
      <w:pPr>
        <w:pStyle w:val="TextBody"/>
        <w:bidi w:val="0"/>
        <w:spacing w:before="0" w:after="0"/>
        <w:jc w:val="center"/>
        <w:rPr/>
      </w:pPr>
      <w:r>
        <w:rPr/>
        <w:drawing>
          <wp:inline distT="0" distB="0" distL="0" distR="0">
            <wp:extent cx="1543050" cy="1460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43050" cy="14605"/>
                    </a:xfrm>
                    <a:prstGeom prst="rect">
                      <a:avLst/>
                    </a:prstGeom>
                  </pic:spPr>
                </pic:pic>
              </a:graphicData>
            </a:graphic>
          </wp:inline>
        </w:drawing>
      </w:r>
      <w:bookmarkStart w:id="2" w:name="i-3"/>
      <w:bookmarkEnd w:id="2"/>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6-K</w:t>
      </w:r>
    </w:p>
    <w:p>
      <w:pPr>
        <w:pStyle w:val="TextBody"/>
        <w:bidi w:val="0"/>
        <w:spacing w:before="5" w:after="283"/>
        <w:jc w:val="center"/>
        <w:rPr/>
      </w:pPr>
      <w:r>
        <w:rPr/>
      </w:r>
    </w:p>
    <w:p>
      <w:pPr>
        <w:pStyle w:val="TextBody"/>
        <w:bidi w:val="0"/>
        <w:spacing w:before="5" w:after="283"/>
        <w:jc w:val="center"/>
        <w:rPr/>
      </w:pPr>
      <w:r>
        <w:rPr/>
        <w:drawing>
          <wp:inline distT="0" distB="0" distL="0" distR="0">
            <wp:extent cx="1552575" cy="1460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552575" cy="14605"/>
                    </a:xfrm>
                    <a:prstGeom prst="rect">
                      <a:avLst/>
                    </a:prstGeom>
                  </pic:spPr>
                </pic:pic>
              </a:graphicData>
            </a:graphic>
          </wp:inline>
        </w:drawing>
      </w:r>
      <w:bookmarkStart w:id="3" w:name="i-4"/>
      <w:bookmarkEnd w:id="3"/>
    </w:p>
    <w:p>
      <w:pPr>
        <w:pStyle w:val="TextBody"/>
        <w:bidi w:val="0"/>
        <w:spacing w:before="5" w:after="283"/>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REPORT OF FOREIGN PRIVATE ISSUER PURSUANT TO RULE 13a-16 OR 15d-16</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UNDER THE SECURITIES EXCHANGE ACT OF 1934</w:t>
      </w:r>
    </w:p>
    <w:p>
      <w:pPr>
        <w:pStyle w:val="TextBody"/>
        <w:bidi w:val="0"/>
        <w:spacing w:before="1" w:after="283"/>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month of September 2026</w:t>
      </w:r>
    </w:p>
    <w:p>
      <w:pPr>
        <w:pStyle w:val="TextBody"/>
        <w:bidi w:val="0"/>
        <w:spacing w:before="10" w:after="283"/>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001-41431</w:t>
      </w:r>
    </w:p>
    <w:p>
      <w:pPr>
        <w:pStyle w:val="TextBody"/>
        <w:bidi w:val="0"/>
        <w:spacing w:before="0" w:after="2"/>
        <w:jc w:val="center"/>
        <w:rPr/>
      </w:pPr>
      <w:r>
        <w:rPr/>
      </w:r>
    </w:p>
    <w:p>
      <w:pPr>
        <w:pStyle w:val="TextBody"/>
        <w:bidi w:val="0"/>
        <w:spacing w:before="8" w:after="283"/>
        <w:jc w:val="center"/>
        <w:rPr/>
      </w:pPr>
      <w:r>
        <w:rPr/>
        <w:drawing>
          <wp:inline distT="0" distB="0" distL="0" distR="0">
            <wp:extent cx="1485900" cy="1460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85900" cy="14605"/>
                    </a:xfrm>
                    <a:prstGeom prst="rect">
                      <a:avLst/>
                    </a:prstGeom>
                  </pic:spPr>
                </pic:pic>
              </a:graphicData>
            </a:graphic>
          </wp:inline>
        </w:drawing>
      </w:r>
      <w:bookmarkStart w:id="4" w:name="i-5"/>
      <w:bookmarkEnd w:id="4"/>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Polestar Automotive Holding UK PLC</w:t>
      </w:r>
    </w:p>
    <w:p>
      <w:pPr>
        <w:pStyle w:val="TextBody"/>
        <w:bidi w:val="0"/>
        <w:spacing w:before="0" w:after="2"/>
        <w:jc w:val="center"/>
        <w:rPr/>
      </w:pPr>
      <w:r>
        <w:rPr/>
      </w:r>
    </w:p>
    <w:p>
      <w:pPr>
        <w:pStyle w:val="TextBody"/>
        <w:bidi w:val="0"/>
        <w:spacing w:before="0" w:after="2"/>
        <w:jc w:val="center"/>
        <w:rPr/>
      </w:pPr>
      <w:r>
        <w:rPr/>
        <w:drawing>
          <wp:inline distT="0" distB="0" distL="0" distR="0">
            <wp:extent cx="1485900" cy="1460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485900" cy="14605"/>
                    </a:xfrm>
                    <a:prstGeom prst="rect">
                      <a:avLst/>
                    </a:prstGeom>
                  </pic:spPr>
                </pic:pic>
              </a:graphicData>
            </a:graphic>
          </wp:inline>
        </w:drawing>
      </w:r>
      <w:bookmarkStart w:id="5" w:name="i-6"/>
      <w:bookmarkEnd w:id="5"/>
    </w:p>
    <w:p>
      <w:pPr>
        <w:pStyle w:val="TextBody"/>
        <w:bidi w:val="0"/>
        <w:spacing w:before="13" w:after="283"/>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Assar Gabrielssons Väg 9</w:t>
      </w:r>
    </w:p>
    <w:p>
      <w:pPr>
        <w:pStyle w:val="TextBody"/>
        <w:bidi w:val="0"/>
        <w:spacing w:lineRule="auto" w:line="288" w:before="11" w:after="283"/>
        <w:jc w:val="center"/>
        <w:rPr>
          <w:rFonts w:ascii="Times New Roman;serif" w:hAnsi="Times New Roman;serif"/>
          <w:b/>
          <w:color w:val="000000"/>
          <w:sz w:val="20"/>
        </w:rPr>
      </w:pPr>
      <w:r>
        <w:rPr>
          <w:rFonts w:ascii="Times New Roman;serif" w:hAnsi="Times New Roman;serif"/>
          <w:b/>
          <w:color w:val="000000"/>
          <w:sz w:val="20"/>
        </w:rPr>
        <w:t>405 31 Göteborg, Sweden</w:t>
      </w:r>
    </w:p>
    <w:p>
      <w:pPr>
        <w:pStyle w:val="TextBody"/>
        <w:bidi w:val="0"/>
        <w:spacing w:lineRule="auto" w:line="288" w:before="8"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w:t>
      </w:r>
    </w:p>
    <w:p>
      <w:pPr>
        <w:pStyle w:val="TextBody"/>
        <w:bidi w:val="0"/>
        <w:spacing w:before="0" w:after="0"/>
        <w:jc w:val="center"/>
        <w:rPr/>
      </w:pPr>
      <w:r>
        <w:rPr/>
      </w:r>
    </w:p>
    <w:p>
      <w:pPr>
        <w:pStyle w:val="TextBody"/>
        <w:bidi w:val="0"/>
        <w:spacing w:before="0" w:after="0"/>
        <w:jc w:val="center"/>
        <w:rPr/>
      </w:pPr>
      <w:r>
        <w:rPr/>
        <w:drawing>
          <wp:inline distT="0" distB="0" distL="0" distR="0">
            <wp:extent cx="1485900" cy="1460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485900" cy="14605"/>
                    </a:xfrm>
                    <a:prstGeom prst="rect">
                      <a:avLst/>
                    </a:prstGeom>
                  </pic:spPr>
                </pic:pic>
              </a:graphicData>
            </a:graphic>
          </wp:inline>
        </w:drawing>
      </w:r>
      <w:bookmarkStart w:id="6" w:name="i-7"/>
      <w:bookmarkEnd w:id="6"/>
    </w:p>
    <w:p>
      <w:pPr>
        <w:pStyle w:val="TextBody"/>
        <w:bidi w:val="0"/>
        <w:spacing w:before="0" w:after="0"/>
        <w:jc w:val="center"/>
        <w:rPr/>
      </w:pPr>
      <w:r>
        <w:rPr/>
      </w:r>
    </w:p>
    <w:p>
      <w:pPr>
        <w:pStyle w:val="TextBody"/>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of Form 20-F or Form 40-F.</w:t>
      </w:r>
    </w:p>
    <w:p>
      <w:pPr>
        <w:pStyle w:val="TextBody"/>
        <w:bidi w:val="0"/>
        <w:spacing w:before="18" w:after="283"/>
        <w:jc w:val="center"/>
        <w:rPr/>
      </w:pPr>
      <w:r>
        <w:rPr/>
      </w:r>
    </w:p>
    <w:p>
      <w:pPr>
        <w:pStyle w:val="TextBody"/>
        <w:bidi w:val="0"/>
        <w:spacing w:lineRule="auto" w:line="288" w:before="0" w:after="0"/>
        <w:jc w:val="center"/>
        <w:rPr/>
      </w:pPr>
      <w:r>
        <w:rPr>
          <w:rFonts w:ascii="Times New Roman;serif" w:hAnsi="Times New Roman;serif"/>
          <w:b w:val="false"/>
          <w:color w:val="000000"/>
          <w:sz w:val="20"/>
        </w:rPr>
        <w:t xml:space="preserve">Form 20-F </w:t>
      </w:r>
      <w:r>
        <w:rPr>
          <w:color w:val="000000"/>
        </w:rPr>
        <w:t>☒    </w:t>
      </w:r>
      <w:r>
        <w:rPr>
          <w:rFonts w:ascii="Times New Roman;serif" w:hAnsi="Times New Roman;serif"/>
          <w:b w:val="false"/>
          <w:color w:val="000000"/>
          <w:sz w:val="20"/>
        </w:rPr>
        <w:t xml:space="preserve">Form 40-F </w:t>
      </w:r>
      <w:r>
        <w:rPr>
          <w:color w:val="000000"/>
        </w:rPr>
        <w:t>☐</w:t>
      </w:r>
    </w:p>
    <w:p>
      <w:pPr>
        <w:pStyle w:val="TextBody"/>
        <w:bidi w:val="0"/>
        <w:spacing w:before="18" w:after="283"/>
        <w:jc w:val="center"/>
        <w:rPr/>
      </w:pPr>
      <w:r>
        <w:rPr/>
      </w:r>
    </w:p>
    <w:p>
      <w:pPr>
        <w:pStyle w:val="TextBody"/>
        <w:bidi w:val="0"/>
        <w:spacing w:lineRule="auto" w:line="288" w:before="0" w:after="0"/>
        <w:jc w:val="center"/>
        <w:rPr/>
      </w:pPr>
      <w:r>
        <w:rPr>
          <w:rFonts w:ascii="Times New Roman;serif" w:hAnsi="Times New Roman;serif"/>
          <w:b w:val="false"/>
          <w:color w:val="000000"/>
          <w:sz w:val="20"/>
        </w:rPr>
        <w:t xml:space="preserve">Indicate by check mark if the registrant is submitting the Form 6-K in paper as permitted by Regulation S-T Rule 101(b)(1): </w:t>
      </w:r>
      <w:r>
        <w:rPr>
          <w:color w:val="000000"/>
        </w:rPr>
        <w:t>☐</w:t>
      </w:r>
    </w:p>
    <w:p>
      <w:pPr>
        <w:pStyle w:val="TextBody"/>
        <w:bidi w:val="0"/>
        <w:spacing w:before="18" w:after="283"/>
        <w:jc w:val="center"/>
        <w:rPr/>
      </w:pPr>
      <w:r>
        <w:rPr/>
      </w:r>
    </w:p>
    <w:p>
      <w:pPr>
        <w:pStyle w:val="TextBody"/>
        <w:bidi w:val="0"/>
        <w:spacing w:lineRule="auto" w:line="288" w:before="0" w:after="0"/>
        <w:jc w:val="center"/>
        <w:rPr/>
      </w:pPr>
      <w:r>
        <w:rPr>
          <w:rFonts w:ascii="Times New Roman;serif" w:hAnsi="Times New Roman;serif"/>
          <w:b w:val="false"/>
          <w:color w:val="000000"/>
          <w:sz w:val="20"/>
        </w:rPr>
        <w:t xml:space="preserve">Indicate by check mark if the registrant is submitting the Form 6-K in paper as permitted by Regulation S-T Rule 101(b)(7): </w:t>
      </w:r>
      <w:r>
        <w:rPr>
          <w:color w:val="000000"/>
        </w:rPr>
        <w:t>☐</w:t>
      </w:r>
    </w:p>
    <w:p>
      <w:pPr>
        <w:pStyle w:val="TextBody"/>
        <w:bidi w:val="0"/>
        <w:spacing w:before="0" w:after="2"/>
        <w:jc w:val="center"/>
        <w:rPr/>
      </w:pPr>
      <w:r>
        <w:rPr/>
      </w:r>
    </w:p>
    <w:p>
      <w:pPr>
        <w:pStyle w:val="TextBody"/>
        <w:bidi w:val="0"/>
        <w:spacing w:before="0" w:after="2"/>
        <w:jc w:val="center"/>
        <w:rPr/>
      </w:pPr>
      <w:r>
        <w:rPr/>
        <w:drawing>
          <wp:inline distT="0" distB="0" distL="0" distR="0">
            <wp:extent cx="7077075" cy="1460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077075" cy="14605"/>
                    </a:xfrm>
                    <a:prstGeom prst="rect">
                      <a:avLst/>
                    </a:prstGeom>
                  </pic:spPr>
                </pic:pic>
              </a:graphicData>
            </a:graphic>
          </wp:inline>
        </w:drawing>
      </w:r>
      <w:bookmarkStart w:id="7" w:name="i-8"/>
      <w:bookmarkEnd w:id="7"/>
    </w:p>
    <w:p>
      <w:pPr>
        <w:pStyle w:val="TextBody"/>
        <w:bidi w:val="0"/>
        <w:spacing w:before="0" w:after="2"/>
        <w:jc w:val="center"/>
        <w:rPr/>
      </w:pPr>
      <w:r>
        <w:rPr/>
        <w:drawing>
          <wp:inline distT="0" distB="0" distL="0" distR="0">
            <wp:extent cx="7077075" cy="1460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077075" cy="14605"/>
                    </a:xfrm>
                    <a:prstGeom prst="rect">
                      <a:avLst/>
                    </a:prstGeom>
                  </pic:spPr>
                </pic:pic>
              </a:graphicData>
            </a:graphic>
          </wp:inline>
        </w:drawing>
      </w:r>
      <w:bookmarkStart w:id="8" w:name="i-9"/>
      <w:bookmarkEnd w:id="8"/>
    </w:p>
    <w:p>
      <w:pPr>
        <w:pStyle w:val="TextBody"/>
        <w:bidi w:val="0"/>
        <w:spacing w:before="53" w:after="2"/>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120" w:after="283"/>
        <w:ind w:left="0" w:right="0" w:hanging="360"/>
        <w:jc w:val="both"/>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INFORMATION CONTAINED IN THIS REPORT ON FORM 6-K</w:t>
      </w:r>
    </w:p>
    <w:p>
      <w:pPr>
        <w:pStyle w:val="TextBody"/>
        <w:bidi w:val="0"/>
        <w:spacing w:before="0" w:after="0"/>
        <w:jc w:val="left"/>
        <w:rPr/>
      </w:pPr>
      <w:r>
        <w:rPr/>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Attached as exhibits to this report on Form 6-K are (i) Polestar's Management's Discussion and Analysis of Financial Condition and Results of Operations for the six-month period ended June 30, 2026 and 2025 which is attached as Exhibit 99.1; (ii) Polestar's Unaudited Condensed Consolidated Interim Financial Statements as of June 30, 2026 and for the six months ended June 30, 2026 and 2025, which are attached as Exhibit 99.2, and (iii) a press release containing Polestar's preliminary unaudited financial and operational results for the fiscal quarter and six-month period ended June 30, 2026 and 2025. A copy of the press release is attached hereto as Exhibit 99.3.</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Exhibit 99.1 and Exhibit 99.2 shall be deemed to be incorporated by reference into Polestar's registration statements on Form S-8 (File No: 333-267146) and Form F-3 (File Nos. 333-274918 and 333-266101) and to be a part thereof from the date on which this report is submitted, to the extent not superseded by documents or reports subsequently filed or furnished.</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Exhibit 99.3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77" w:after="283"/>
        <w:jc w:val="center"/>
        <w:rPr/>
      </w:pPr>
      <w:r>
        <w:rPr/>
      </w:r>
    </w:p>
    <w:p>
      <w:pPr>
        <w:pStyle w:val="TextBody"/>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before="17" w:after="283"/>
        <w:jc w:val="left"/>
        <w:rPr/>
      </w:pPr>
      <w:r>
        <w:rPr/>
      </w:r>
    </w:p>
    <w:tbl>
      <w:tblPr>
        <w:tblW w:w="10205" w:type="dxa"/>
        <w:jc w:val="left"/>
        <w:tblInd w:w="0" w:type="dxa"/>
        <w:tblLayout w:type="fixed"/>
        <w:tblCellMar>
          <w:top w:w="28" w:type="dxa"/>
          <w:left w:w="28" w:type="dxa"/>
          <w:bottom w:w="28" w:type="dxa"/>
          <w:right w:w="28" w:type="dxa"/>
        </w:tblCellMar>
      </w:tblPr>
      <w:tblGrid>
        <w:gridCol w:w="356"/>
        <w:gridCol w:w="313"/>
        <w:gridCol w:w="314"/>
        <w:gridCol w:w="2734"/>
        <w:gridCol w:w="2677"/>
        <w:gridCol w:w="3811"/>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c>
          <w:tcPr>
            <w:tcW w:w="2677" w:type="dxa"/>
            <w:tcBorders/>
            <w:vAlign w:val="center"/>
          </w:tcPr>
          <w:p>
            <w:pPr>
              <w:pStyle w:val="TableContents"/>
              <w:bidi w:val="0"/>
              <w:spacing w:before="0" w:after="283"/>
              <w:jc w:val="left"/>
              <w:rPr>
                <w:sz w:val="4"/>
                <w:szCs w:val="4"/>
              </w:rPr>
            </w:pPr>
            <w:r>
              <w:rPr>
                <w:sz w:val="4"/>
                <w:szCs w:val="4"/>
              </w:rPr>
            </w:r>
          </w:p>
        </w:tc>
        <w:tc>
          <w:tcPr>
            <w:tcW w:w="3811"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9222"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u w:val="single"/>
              </w:rPr>
            </w:pPr>
            <w:r>
              <w:rPr>
                <w:rFonts w:ascii="Times New Roman;serif" w:hAnsi="Times New Roman;serif"/>
                <w:b/>
                <w:color w:val="000000"/>
                <w:sz w:val="20"/>
                <w:u w:val="single"/>
              </w:rPr>
              <w:t>Description of Exhibit</w:t>
            </w:r>
          </w:p>
        </w:tc>
      </w:tr>
      <w:tr>
        <w:trPr/>
        <w:tc>
          <w:tcPr>
            <w:tcW w:w="983"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9222"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val="false"/>
                <w:color w:val="000000"/>
                <w:sz w:val="20"/>
              </w:rPr>
              <w:t xml:space="preserve">Management's Discussion and Analysis of Financial Condition and Results of Operations for the </w:t>
            </w:r>
            <w:r>
              <w:rPr>
                <w:rFonts w:ascii="Times New Roman;serif" w:hAnsi="Times New Roman;serif"/>
                <w:b w:val="false"/>
                <w:color w:val="000000"/>
                <w:sz w:val="22"/>
              </w:rPr>
              <w:t>six-month period ended June 30, 2026</w:t>
            </w:r>
            <w:r>
              <w:rPr>
                <w:color w:val="000000"/>
              </w:rPr>
              <w:t xml:space="preserve"> </w:t>
            </w:r>
            <w:r>
              <w:rPr>
                <w:rFonts w:ascii="Times New Roman;serif" w:hAnsi="Times New Roman;serif"/>
                <w:b w:val="false"/>
                <w:color w:val="000000"/>
                <w:sz w:val="20"/>
              </w:rPr>
              <w:t>and 2025.</w:t>
            </w:r>
          </w:p>
        </w:tc>
      </w:tr>
      <w:tr>
        <w:trPr/>
        <w:tc>
          <w:tcPr>
            <w:tcW w:w="983"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9222"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Unaudited Condensed Consolidated Interim Financial Statements as of June 30, 2026 and for the six-month period ended June 30, 2026 and 2025.</w:t>
            </w:r>
          </w:p>
        </w:tc>
      </w:tr>
      <w:tr>
        <w:trPr/>
        <w:tc>
          <w:tcPr>
            <w:tcW w:w="983"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99.3</w:t>
            </w:r>
          </w:p>
        </w:tc>
        <w:tc>
          <w:tcPr>
            <w:tcW w:w="9222"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Press Release of Polestar Automotive Holding UK PLC, dated September 3, 2026.</w:t>
            </w:r>
          </w:p>
        </w:tc>
      </w:tr>
      <w:tr>
        <w:trPr/>
        <w:tc>
          <w:tcPr>
            <w:tcW w:w="983"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9222"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XBRL Instance Document.</w:t>
            </w:r>
          </w:p>
        </w:tc>
      </w:tr>
      <w:tr>
        <w:trPr/>
        <w:tc>
          <w:tcPr>
            <w:tcW w:w="983"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9222"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983"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9222"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983"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9222"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983"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9222"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983"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9222"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983"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222"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before="0" w:after="2"/>
        <w:jc w:val="center"/>
        <w:rPr/>
      </w:pPr>
      <w:r>
        <w:rPr/>
      </w:r>
    </w:p>
    <w:p>
      <w:pPr>
        <w:pStyle w:val="TextBody"/>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POLESTAR AUTOMOTIVE HOLDING UK PLC</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3, 2026</w:t>
      </w:r>
    </w:p>
    <w:p>
      <w:pPr>
        <w:pStyle w:val="TextBody"/>
        <w:bidi w:val="0"/>
        <w:spacing w:lineRule="auto" w:line="240"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Michael Lohscheller </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Name: Michael Lohscheller</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Title:     Chief Executive Officer</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Jean-François Mady </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Name: Jean-François Mady</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7"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ind w:left="0" w:right="0" w:hanging="36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discussion includes information that is relevant to understanding Polestar's consolidated financial condition and results of operations and should be read together with the Unaudited Condensed Consolidated Interim Financial Statements for the six months ended June 30, 2026 and 2025, included elsewhere in this report. Refer to Polestar's consolidated financial statements as of December 31, 2025 and 2024, and for each of the years in the three-year period ended December 31, 2025 (the "Consolidated Financial Statements") that were included in Polestar's annual report on Form 20-F filed with the SEC on April 17, 2026 (the "2025 20-F") for more information about the year ended December 31, 2025. All figures presented in the tables below are in thousands of U.S. dollars, unless otherwise stated.</w:t>
      </w: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Management's Discussion and Analysis of Financial Condition and Results of Operations ("MD&amp;A") contains forward-looking statements that are based on Polestar's current expectations and beliefs concerning future developments and their potential effects on the Company. Forward-looking statements generally relate to future events or the future financial or operating performance of Polestar, including the number of vehicle deliveries and gross margin. For example, statements regarding expectations of future needs for funding and plans related thereto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forward-looking statements.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 (1) Polestar's ability to enter into or maintain agreements or partnerships with its strategic partners, including Volvo Cars and Geely, original equipment manufacturers, vendors and technology providers; (2) Polestar's ability to maintain relationships with its existing suppliers, source new suppliers for its critical components and enter into longer term supply contracts and complete building out its supply chain; (3) Polestar's ability to raise additional funding; (4) Polestar's ability to successfully execute cost-cutting activities and strategic efficiency initiatives; (5) Polestar's estimates of expenses, profitability, gross margin, cash flow, and cash reserves; (6) Polestar's ability to continue to meet stock exchange listing standards; (7) changes in domestic and foreign business, market, financial, political and legal conditions; (8) demand for Polestar's vehicles or car sale volumes, revenue and margin development based on pricing, variant and market mix, cost reduction efficiencies, logistics and growing aftersales; (9) delays in the expected timelines for the development, design, manufacture, launch and financing of Polestar's vehicles and Polestar's reliance on a limited number of vehicle models to generate revenues; (10) increases in costs, disruption of supply or shortage of materials, in particular for lithium-ion cells or semiconductors; (11) risks related to product recalls, regulatory fines and/or an unexpectedly high volume of warranty claims; (12) 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volumes; (13) the ability of Polestar to grow and manage growth profitably, maintain relationships with customers and suppliers and retain its management and key employees; (14) risks related to future market adoption of Polestar's offerings; (15) risks related to Polestar's current distribution model and the evolution of its distribution model in the future; (16) the effects of competition and the high barriers to entry in the automotive industry and the pace and depth of electric vehicle adoption generally on Polestar's future business; (17) changes in regulatory requirements (including environmental laws and regulations and regulations related to connected vehicles and Polestar's response to the U.S. government's denial of a specific authorization for the U.S.), governmental incentives, tariffs and fuel and energy prices; (18) Polestar's reliance on the development of vehicle charging networks to provide charging solutions for its vehicles and its strategic partners for servicing its vehicles and their integrated software; (19) Polestar's ability to establish its brand and capture additional market share, and the risks associated with negative press or reputational harm, including from electric vehicle fires; (20) the outcome of any potential litigation, government and regulatory proceedings, tax audits, investigations and inquiries; (21) Polestar's ability to continuously and rapidly innovate, develop and market new products; (22) the impact of the ongoing conflict between Ukraine and Russia and the conflict with Iran and the conflict in the Red Sea; and (23)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Nothing in this MD&amp;A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 except as may be required by law.</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Certain defined terms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Unless otherwise stated in this MD&amp;A, or the context otherwise requires, references to: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"Polestar," "the Company" or the "Group" means Polestar Automotive Holding UK PLC together with its subsidiaries.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"Geely" means Zhejiang Geely Holding Group Company Limited, together with its subsidiaries, excluding Volvo Cars.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 xml:space="preserve">"Renault Korea Co Ltd", "Renault Korea Motors", "Renault Korea", "RK" or "RKM" refers to Geely's joint venture involved in the production of Polestar 4.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"Volvo Cars" means Volvo Car AB (publ) and its subsidiaries.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"Snita" means Snita Holding B.V., a corporation organized under the laws of the Netherlands and a wholly owned subsidiary of Volvo Car AB (publ).</w:t>
      </w:r>
    </w:p>
    <w:p>
      <w:pPr>
        <w:pStyle w:val="TextBody"/>
        <w:bidi w:val="0"/>
        <w:spacing w:before="120" w:after="283"/>
        <w:ind w:left="0" w:right="0" w:hanging="36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2" name="Frame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2"/>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"H1 2026" means the six months ended June 30, 2026.</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"H1 2025" means the six months ended June 30, 2025.</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"PS2", "PS3", "PS4", "PS5", "PS6" and "PS7" refer to car models Polestar 2, Polestar 3, Polestar 4, Polestar 5, Polestar 6 and Polestar 7 respectively.</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Currencies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All references to "U.S. dollar", "USD" and "$" are to the currency of the United States of America ("U.S."). All references to "EUR" refer to the currency issued by the European Central Bank. All references to "SEK", "GBP" and "CNY" refer to the currencies issued by the central banks of Sweden, the United Kingdom, and the People's Republic of China, respectively. </w:t>
      </w:r>
    </w:p>
    <w:p>
      <w:pPr>
        <w:pStyle w:val="TextBody"/>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Unless otherwise stated, Polestar's financial information is presented in USD. All amounts in all currencies are rounded to the nearest thousand unless otherwise stated.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ind w:left="0" w:right="0" w:hanging="36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Key financial highlights</w:t>
      </w:r>
    </w:p>
    <w:tbl>
      <w:tblPr>
        <w:tblW w:w="6799" w:type="dxa"/>
        <w:jc w:val="left"/>
        <w:tblInd w:w="0" w:type="dxa"/>
        <w:tblLayout w:type="fixed"/>
        <w:tblCellMar>
          <w:top w:w="28" w:type="dxa"/>
          <w:left w:w="28" w:type="dxa"/>
          <w:bottom w:w="28" w:type="dxa"/>
          <w:right w:w="28" w:type="dxa"/>
        </w:tblCellMar>
      </w:tblPr>
      <w:tblGrid>
        <w:gridCol w:w="928"/>
        <w:gridCol w:w="818"/>
        <w:gridCol w:w="819"/>
        <w:gridCol w:w="449"/>
        <w:gridCol w:w="451"/>
        <w:gridCol w:w="819"/>
        <w:gridCol w:w="449"/>
        <w:gridCol w:w="451"/>
        <w:gridCol w:w="819"/>
        <w:gridCol w:w="233"/>
        <w:gridCol w:w="233"/>
        <w:gridCol w:w="330"/>
      </w:tblGrid>
      <w:tr>
        <w:trPr/>
        <w:tc>
          <w:tcPr>
            <w:tcW w:w="92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8" w:type="dxa"/>
            <w:gridSpan w:val="6"/>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c>
          <w:tcPr>
            <w:tcW w:w="796"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17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7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w:t>
            </w:r>
          </w:p>
        </w:tc>
      </w:tr>
      <w:tr>
        <w:trPr/>
        <w:tc>
          <w:tcPr>
            <w:tcW w:w="2565"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71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1,360,091</w:t>
            </w:r>
          </w:p>
        </w:tc>
        <w:tc>
          <w:tcPr>
            <w:tcW w:w="171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1,422,605</w:t>
            </w:r>
          </w:p>
        </w:tc>
        <w:tc>
          <w:tcPr>
            <w:tcW w:w="79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(4.4)</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Gross loss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i/>
                <w:color w:val="000000"/>
                <w:sz w:val="20"/>
              </w:rPr>
            </w:pPr>
            <w:r>
              <w:rPr>
                <w:rFonts w:ascii="Times New Roman;serif" w:hAnsi="Times New Roman;serif"/>
                <w:b w:val="false"/>
                <w:i/>
                <w:color w:val="000000"/>
                <w:sz w:val="20"/>
              </w:rPr>
              <w:t>(114,810)</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i/>
                <w:color w:val="000000"/>
                <w:sz w:val="20"/>
              </w:rPr>
            </w:pPr>
            <w:r>
              <w:rPr>
                <w:rFonts w:ascii="Times New Roman;serif" w:hAnsi="Times New Roman;serif"/>
                <w:b w:val="false"/>
                <w:i/>
                <w:color w:val="000000"/>
                <w:sz w:val="20"/>
              </w:rPr>
              <w:t>(703,124)</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i/>
                <w:color w:val="000000"/>
                <w:sz w:val="20"/>
              </w:rPr>
            </w:pPr>
            <w:r>
              <w:rPr>
                <w:rFonts w:ascii="Times New Roman;serif" w:hAnsi="Times New Roman;serif"/>
                <w:b w:val="false"/>
                <w:i/>
                <w:color w:val="000000"/>
                <w:sz w:val="20"/>
              </w:rPr>
              <w:t>83.7</w:t>
            </w:r>
          </w:p>
        </w:tc>
      </w:tr>
      <w:tr>
        <w:trPr/>
        <w:tc>
          <w:tcPr>
            <w:tcW w:w="2565"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i/>
                <w:color w:val="000000"/>
                <w:sz w:val="20"/>
              </w:rPr>
            </w:pPr>
            <w:r>
              <w:rPr>
                <w:rFonts w:ascii="Times New Roman;serif" w:hAnsi="Times New Roman;serif"/>
                <w:b w:val="false"/>
                <w:i/>
                <w:color w:val="000000"/>
                <w:sz w:val="20"/>
              </w:rPr>
              <w:t>Gross margin %</w:t>
            </w:r>
          </w:p>
        </w:tc>
        <w:tc>
          <w:tcPr>
            <w:tcW w:w="900"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i/>
                <w:color w:val="000000"/>
                <w:sz w:val="20"/>
              </w:rPr>
            </w:pPr>
            <w:r>
              <w:rPr>
                <w:rFonts w:ascii="Times New Roman;serif" w:hAnsi="Times New Roman;serif"/>
                <w:b w:val="false"/>
                <w:i/>
                <w:color w:val="000000"/>
                <w:sz w:val="20"/>
              </w:rPr>
              <w:t>(8.4)</w:t>
            </w:r>
          </w:p>
        </w:tc>
        <w:tc>
          <w:tcPr>
            <w:tcW w:w="819" w:type="dxa"/>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900"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i/>
                <w:color w:val="000000"/>
                <w:sz w:val="20"/>
              </w:rPr>
            </w:pPr>
            <w:r>
              <w:rPr>
                <w:rFonts w:ascii="Times New Roman;serif" w:hAnsi="Times New Roman;serif"/>
                <w:b w:val="false"/>
                <w:i/>
                <w:color w:val="000000"/>
                <w:sz w:val="20"/>
              </w:rPr>
              <w:t>(49.4)</w:t>
            </w:r>
          </w:p>
        </w:tc>
        <w:tc>
          <w:tcPr>
            <w:tcW w:w="819" w:type="dxa"/>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796"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i/>
                <w:color w:val="000000"/>
                <w:sz w:val="20"/>
              </w:rPr>
            </w:pPr>
            <w:r>
              <w:rPr>
                <w:rFonts w:ascii="Times New Roman;serif" w:hAnsi="Times New Roman;serif"/>
                <w:b w:val="false"/>
                <w:i/>
                <w:color w:val="000000"/>
                <w:sz w:val="20"/>
              </w:rPr>
              <w:t>41.0</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pPr>
            <w:r>
              <w:rPr>
                <w:rFonts w:ascii="Times New Roman;serif" w:hAnsi="Times New Roman;serif"/>
                <w:b w:val="false"/>
                <w:color w:val="000000"/>
                <w:sz w:val="20"/>
              </w:rPr>
              <w:t>Adjusted Gross Profit / (Loss)</w:t>
            </w:r>
            <w:r>
              <w:rPr>
                <w:rFonts w:ascii="Times New Roman;serif" w:hAnsi="Times New Roman;serif"/>
                <w:b w:val="false"/>
                <w:color w:val="000000"/>
                <w:sz w:val="13"/>
              </w:rPr>
              <w:t>1</w:t>
            </w:r>
          </w:p>
        </w:tc>
        <w:tc>
          <w:tcPr>
            <w:tcW w:w="171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(115,964)</w:t>
            </w:r>
          </w:p>
        </w:tc>
        <w:tc>
          <w:tcPr>
            <w:tcW w:w="171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20,400</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(668.5)</w:t>
            </w:r>
          </w:p>
        </w:tc>
      </w:tr>
      <w:tr>
        <w:trPr/>
        <w:tc>
          <w:tcPr>
            <w:tcW w:w="2565"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pPr>
            <w:r>
              <w:rPr>
                <w:rFonts w:ascii="Times New Roman;serif" w:hAnsi="Times New Roman;serif"/>
                <w:b w:val="false"/>
                <w:color w:val="000000"/>
                <w:sz w:val="20"/>
              </w:rPr>
              <w:t>Adjusted Gross Margin</w:t>
            </w:r>
            <w:r>
              <w:rPr>
                <w:rFonts w:ascii="Times New Roman;serif" w:hAnsi="Times New Roman;serif"/>
                <w:b w:val="false"/>
                <w:color w:val="000000"/>
                <w:sz w:val="13"/>
              </w:rPr>
              <w:t>1</w:t>
            </w:r>
          </w:p>
        </w:tc>
        <w:tc>
          <w:tcPr>
            <w:tcW w:w="900"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i/>
                <w:color w:val="000000"/>
                <w:sz w:val="20"/>
              </w:rPr>
            </w:pPr>
            <w:r>
              <w:rPr>
                <w:rFonts w:ascii="Times New Roman;serif" w:hAnsi="Times New Roman;serif"/>
                <w:b w:val="false"/>
                <w:i/>
                <w:color w:val="000000"/>
                <w:sz w:val="20"/>
              </w:rPr>
              <w:t>(8.5)</w:t>
            </w:r>
          </w:p>
        </w:tc>
        <w:tc>
          <w:tcPr>
            <w:tcW w:w="819" w:type="dxa"/>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900"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i/>
                <w:color w:val="000000"/>
                <w:sz w:val="20"/>
              </w:rPr>
            </w:pPr>
            <w:r>
              <w:rPr>
                <w:rFonts w:ascii="Times New Roman;serif" w:hAnsi="Times New Roman;serif"/>
                <w:b w:val="false"/>
                <w:i/>
                <w:color w:val="000000"/>
                <w:sz w:val="20"/>
              </w:rPr>
              <w:t>1.4 </w:t>
            </w:r>
          </w:p>
        </w:tc>
        <w:tc>
          <w:tcPr>
            <w:tcW w:w="819" w:type="dxa"/>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796"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i/>
                <w:color w:val="000000"/>
                <w:sz w:val="20"/>
              </w:rPr>
            </w:pPr>
            <w:r>
              <w:rPr>
                <w:rFonts w:ascii="Times New Roman;serif" w:hAnsi="Times New Roman;serif"/>
                <w:b w:val="false"/>
                <w:i/>
                <w:color w:val="000000"/>
                <w:sz w:val="20"/>
              </w:rPr>
              <w:t>(9.9)</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71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(842,448)</w:t>
            </w:r>
          </w:p>
        </w:tc>
        <w:tc>
          <w:tcPr>
            <w:tcW w:w="171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(1,193,079)</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29.4</w:t>
            </w:r>
          </w:p>
        </w:tc>
      </w:tr>
      <w:tr>
        <w:trPr/>
        <w:tc>
          <w:tcPr>
            <w:tcW w:w="2565"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1</w:t>
            </w:r>
          </w:p>
        </w:tc>
        <w:tc>
          <w:tcPr>
            <w:tcW w:w="1719"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(521,438)</w:t>
            </w:r>
          </w:p>
        </w:tc>
        <w:tc>
          <w:tcPr>
            <w:tcW w:w="1719"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(302,301)</w:t>
            </w:r>
          </w:p>
        </w:tc>
        <w:tc>
          <w:tcPr>
            <w:tcW w:w="796"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(72.5)</w:t>
            </w:r>
          </w:p>
        </w:tc>
      </w:tr>
    </w:tbl>
    <w:tbl>
      <w:tblPr>
        <w:tblW w:w="5181" w:type="dxa"/>
        <w:jc w:val="left"/>
        <w:tblInd w:w="0" w:type="dxa"/>
        <w:tblLayout w:type="fixed"/>
        <w:tblCellMar>
          <w:top w:w="28" w:type="dxa"/>
          <w:left w:w="28" w:type="dxa"/>
          <w:bottom w:w="28" w:type="dxa"/>
          <w:right w:w="28" w:type="dxa"/>
        </w:tblCellMar>
      </w:tblPr>
      <w:tblGrid>
        <w:gridCol w:w="820"/>
        <w:gridCol w:w="720"/>
        <w:gridCol w:w="724"/>
        <w:gridCol w:w="419"/>
        <w:gridCol w:w="407"/>
        <w:gridCol w:w="212"/>
        <w:gridCol w:w="419"/>
        <w:gridCol w:w="407"/>
        <w:gridCol w:w="212"/>
        <w:gridCol w:w="255"/>
        <w:gridCol w:w="256"/>
        <w:gridCol w:w="330"/>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6"/>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As of June 30,</w:t>
            </w:r>
          </w:p>
        </w:tc>
        <w:tc>
          <w:tcPr>
            <w:tcW w:w="841"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10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w:t>
            </w:r>
          </w:p>
        </w:tc>
      </w:tr>
      <w:tr>
        <w:trPr/>
        <w:tc>
          <w:tcPr>
            <w:tcW w:w="226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82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887,577 </w:t>
            </w:r>
          </w:p>
        </w:tc>
        <w:tc>
          <w:tcPr>
            <w:tcW w:w="21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718,625 </w:t>
            </w:r>
          </w:p>
        </w:tc>
        <w:tc>
          <w:tcPr>
            <w:tcW w:w="21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3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120" w:after="120"/>
        <w:jc w:val="both"/>
        <w:rPr>
          <w:rFonts w:ascii="Times New Roman;serif" w:hAnsi="Times New Roman;serif"/>
          <w:b w:val="false"/>
          <w:color w:val="000000"/>
          <w:sz w:val="16"/>
        </w:rPr>
      </w:pPr>
      <w:r>
        <w:rPr>
          <w:rFonts w:ascii="Times New Roman;serif" w:hAnsi="Times New Roman;serif"/>
          <w:b w:val="false"/>
          <w:color w:val="000000"/>
          <w:sz w:val="16"/>
        </w:rPr>
        <w:t>1 - Adjusted EBITDA, Adjusted Gross Profit / (Loss) and Adjusted Gross Margin are non-GAAP measures. For further details on their calculation, see the Non-GAAP Financial Measures section in this MD&amp;A.</w:t>
      </w:r>
    </w:p>
    <w:tbl>
      <w:tblPr>
        <w:tblW w:w="8457" w:type="dxa"/>
        <w:jc w:val="left"/>
        <w:tblInd w:w="0" w:type="dxa"/>
        <w:tblLayout w:type="fixed"/>
        <w:tblCellMar>
          <w:top w:w="28" w:type="dxa"/>
          <w:left w:w="28" w:type="dxa"/>
          <w:bottom w:w="28" w:type="dxa"/>
          <w:right w:w="28" w:type="dxa"/>
        </w:tblCellMar>
      </w:tblPr>
      <w:tblGrid>
        <w:gridCol w:w="1702"/>
        <w:gridCol w:w="1502"/>
        <w:gridCol w:w="1506"/>
        <w:gridCol w:w="491"/>
        <w:gridCol w:w="491"/>
        <w:gridCol w:w="491"/>
        <w:gridCol w:w="491"/>
        <w:gridCol w:w="491"/>
        <w:gridCol w:w="496"/>
        <w:gridCol w:w="233"/>
        <w:gridCol w:w="233"/>
        <w:gridCol w:w="330"/>
      </w:tblGrid>
      <w:tr>
        <w:trPr/>
        <w:tc>
          <w:tcPr>
            <w:tcW w:w="170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6"/>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c>
          <w:tcPr>
            <w:tcW w:w="796"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14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7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w:t>
            </w:r>
          </w:p>
        </w:tc>
      </w:tr>
      <w:tr>
        <w:trPr/>
        <w:tc>
          <w:tcPr>
            <w:tcW w:w="4710"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Business metrics</w:t>
            </w:r>
          </w:p>
        </w:tc>
        <w:tc>
          <w:tcPr>
            <w:tcW w:w="147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pPr>
            <w:r>
              <w:rPr>
                <w:rFonts w:ascii="Times New Roman;serif" w:hAnsi="Times New Roman;serif"/>
                <w:b w:val="false"/>
                <w:color w:val="000000"/>
                <w:sz w:val="20"/>
              </w:rPr>
              <w:t>Retail sales</w:t>
            </w:r>
            <w:r>
              <w:rPr>
                <w:rFonts w:ascii="Times New Roman;serif" w:hAnsi="Times New Roman;serif"/>
                <w:b w:val="false"/>
                <w:color w:val="000000"/>
                <w:sz w:val="13"/>
              </w:rPr>
              <w:t>1</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30,423 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30,289 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0.4</w:t>
            </w:r>
          </w:p>
        </w:tc>
      </w:tr>
      <w:tr>
        <w:trPr/>
        <w:tc>
          <w:tcPr>
            <w:tcW w:w="4710"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pPr>
            <w:r>
              <w:rPr>
                <w:rFonts w:ascii="Times New Roman;serif" w:hAnsi="Times New Roman;serif"/>
                <w:b w:val="false"/>
                <w:color w:val="000000"/>
                <w:sz w:val="20"/>
              </w:rPr>
              <w:t>Including external vehicles with repurchase obligations</w:t>
            </w:r>
            <w:r>
              <w:rPr>
                <w:rFonts w:ascii="Times New Roman;serif" w:hAnsi="Times New Roman;serif"/>
                <w:b w:val="false"/>
                <w:color w:val="000000"/>
                <w:sz w:val="13"/>
              </w:rPr>
              <w:t>2</w:t>
            </w:r>
          </w:p>
        </w:tc>
        <w:tc>
          <w:tcPr>
            <w:tcW w:w="98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1,384 </w:t>
            </w:r>
          </w:p>
        </w:tc>
        <w:tc>
          <w:tcPr>
            <w:tcW w:w="4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4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41.4</w:t>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Including internal vehicles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2,166 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1,906 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13.6</w:t>
            </w:r>
          </w:p>
        </w:tc>
      </w:tr>
      <w:tr>
        <w:trPr/>
        <w:tc>
          <w:tcPr>
            <w:tcW w:w="471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6"/>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As of June 30,</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471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147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79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w:t>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pPr>
            <w:r>
              <w:rPr>
                <w:rFonts w:ascii="Times New Roman;serif" w:hAnsi="Times New Roman;serif"/>
                <w:b w:val="false"/>
                <w:color w:val="000000"/>
                <w:sz w:val="20"/>
              </w:rPr>
              <w:t>Markets</w:t>
            </w:r>
            <w:r>
              <w:rPr>
                <w:rFonts w:ascii="Times New Roman;serif" w:hAnsi="Times New Roman;serif"/>
                <w:b w:val="false"/>
                <w:color w:val="000000"/>
                <w:sz w:val="13"/>
              </w:rPr>
              <w:t>3</w:t>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3.6</w:t>
            </w:r>
          </w:p>
        </w:tc>
      </w:tr>
      <w:tr>
        <w:trPr/>
        <w:tc>
          <w:tcPr>
            <w:tcW w:w="4710"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pPr>
            <w:r>
              <w:rPr>
                <w:rFonts w:ascii="Times New Roman;serif" w:hAnsi="Times New Roman;serif"/>
                <w:b w:val="false"/>
                <w:color w:val="000000"/>
                <w:sz w:val="20"/>
              </w:rPr>
              <w:t>Sales points</w:t>
            </w:r>
            <w:r>
              <w:rPr>
                <w:rFonts w:ascii="Times New Roman;serif" w:hAnsi="Times New Roman;serif"/>
                <w:b w:val="false"/>
                <w:color w:val="000000"/>
                <w:sz w:val="13"/>
              </w:rPr>
              <w:t>4</w:t>
            </w:r>
          </w:p>
        </w:tc>
        <w:tc>
          <w:tcPr>
            <w:tcW w:w="98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4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4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38.2</w:t>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of which sales points, excluding China</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39.1</w:t>
            </w:r>
          </w:p>
        </w:tc>
      </w:tr>
      <w:tr>
        <w:trPr/>
        <w:tc>
          <w:tcPr>
            <w:tcW w:w="4710"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pPr>
            <w:r>
              <w:rPr>
                <w:rFonts w:ascii="Times New Roman;serif" w:hAnsi="Times New Roman;serif"/>
                <w:b w:val="false"/>
                <w:color w:val="000000"/>
                <w:sz w:val="20"/>
              </w:rPr>
              <w:t>Service points</w:t>
            </w:r>
            <w:r>
              <w:rPr>
                <w:rFonts w:ascii="Times New Roman;serif" w:hAnsi="Times New Roman;serif"/>
                <w:b w:val="false"/>
                <w:color w:val="000000"/>
                <w:sz w:val="13"/>
              </w:rPr>
              <w:t>5</w:t>
            </w:r>
          </w:p>
        </w:tc>
        <w:tc>
          <w:tcPr>
            <w:tcW w:w="98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1,255 </w:t>
            </w:r>
          </w:p>
        </w:tc>
        <w:tc>
          <w:tcPr>
            <w:tcW w:w="4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1,237 </w:t>
            </w:r>
          </w:p>
        </w:tc>
        <w:tc>
          <w:tcPr>
            <w:tcW w:w="4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1.5</w:t>
            </w:r>
          </w:p>
        </w:tc>
      </w:tr>
    </w:tbl>
    <w:p>
      <w:pPr>
        <w:pStyle w:val="TextBody"/>
        <w:bidi w:val="0"/>
        <w:spacing w:lineRule="auto" w:line="319" w:before="120" w:after="2"/>
        <w:jc w:val="both"/>
        <w:rPr>
          <w:rFonts w:ascii="Times New Roman;serif" w:hAnsi="Times New Roman;serif"/>
          <w:b w:val="false"/>
          <w:color w:val="000000"/>
          <w:sz w:val="16"/>
        </w:rPr>
      </w:pPr>
      <w:r>
        <w:rPr>
          <w:rFonts w:ascii="Times New Roman;serif" w:hAnsi="Times New Roman;serif"/>
          <w:b w:val="false"/>
          <w:color w:val="000000"/>
          <w:sz w:val="16"/>
        </w:rPr>
        <w:t>1 - Retail sales figures are sales to end customers. Retail Sales include new cars handed over via all sales channels and all sale types, including but not restricted to internal, fleet, retail, rental and leaseholders' channels across all markets irrespective of their market model and setup and may, or may not, directly generate revenue for Polestar. Figures for external vehicles with repurchase obligations and internal vehicles are provided on an estimated basis and subject to future revision.</w:t>
      </w:r>
    </w:p>
    <w:p>
      <w:pPr>
        <w:pStyle w:val="TextBody"/>
        <w:bidi w:val="0"/>
        <w:spacing w:lineRule="auto" w:line="319" w:before="0" w:after="2"/>
        <w:jc w:val="both"/>
        <w:rPr>
          <w:rFonts w:ascii="Times New Roman;serif" w:hAnsi="Times New Roman;serif"/>
          <w:b w:val="false"/>
          <w:color w:val="000000"/>
          <w:sz w:val="16"/>
        </w:rPr>
      </w:pPr>
      <w:r>
        <w:rPr>
          <w:rFonts w:ascii="Times New Roman;serif" w:hAnsi="Times New Roman;serif"/>
          <w:b w:val="false"/>
          <w:color w:val="000000"/>
          <w:sz w:val="16"/>
        </w:rPr>
        <w:t>2 - In the six months ended June 30, 2025, includes 177 cars that were handed-over as security under a financing arrangement. There were no arrangements of this type in the six months ended June 30, 2026.</w:t>
      </w:r>
    </w:p>
    <w:p>
      <w:pPr>
        <w:pStyle w:val="TextBody"/>
        <w:bidi w:val="0"/>
        <w:spacing w:lineRule="auto" w:line="319" w:before="0" w:after="2"/>
        <w:jc w:val="both"/>
        <w:rPr>
          <w:rFonts w:ascii="Times New Roman;serif" w:hAnsi="Times New Roman;serif"/>
          <w:b w:val="false"/>
          <w:color w:val="000000"/>
          <w:sz w:val="16"/>
        </w:rPr>
      </w:pPr>
      <w:r>
        <w:rPr>
          <w:rFonts w:ascii="Times New Roman;serif" w:hAnsi="Times New Roman;serif"/>
          <w:b w:val="false"/>
          <w:color w:val="000000"/>
          <w:sz w:val="16"/>
        </w:rPr>
        <w:t>3 - Represents the number of markets in which Polestar is present, whether currently active or not yet active.</w:t>
      </w:r>
    </w:p>
    <w:p>
      <w:pPr>
        <w:pStyle w:val="TextBody"/>
        <w:bidi w:val="0"/>
        <w:spacing w:lineRule="auto" w:line="319" w:before="0" w:after="2"/>
        <w:jc w:val="both"/>
        <w:rPr>
          <w:rFonts w:ascii="Times New Roman;serif" w:hAnsi="Times New Roman;serif"/>
          <w:b w:val="false"/>
          <w:color w:val="000000"/>
          <w:sz w:val="16"/>
        </w:rPr>
      </w:pPr>
      <w:r>
        <w:rPr>
          <w:rFonts w:ascii="Times New Roman;serif" w:hAnsi="Times New Roman;serif"/>
          <w:b w:val="false"/>
          <w:color w:val="000000"/>
          <w:sz w:val="16"/>
        </w:rPr>
        <w:t>4 - Represents Sales Points, including retail locations which are physical facilities (such as showrooms), actively selling Polestar cars, and pre-space activations, which represent locations with an ongoing project to build a retail location but that have started selling Polestar cars.</w:t>
      </w:r>
    </w:p>
    <w:p>
      <w:pPr>
        <w:pStyle w:val="TextBody"/>
        <w:bidi w:val="0"/>
        <w:spacing w:lineRule="auto" w:line="319" w:before="0" w:after="2"/>
        <w:jc w:val="both"/>
        <w:rPr>
          <w:rFonts w:ascii="Times New Roman;serif" w:hAnsi="Times New Roman;serif"/>
          <w:b w:val="false"/>
          <w:color w:val="000000"/>
          <w:sz w:val="16"/>
        </w:rPr>
      </w:pPr>
      <w:r>
        <w:rPr>
          <w:rFonts w:ascii="Times New Roman;serif" w:hAnsi="Times New Roman;serif"/>
          <w:b w:val="false"/>
          <w:color w:val="000000"/>
          <w:sz w:val="16"/>
        </w:rPr>
        <w:t>5 - Represents Volvo Cars service centers to provide access to customer service points worldwide in support of Polestar's international expansion.</w:t>
      </w:r>
    </w:p>
    <w:p>
      <w:pPr>
        <w:pStyle w:val="TextBody"/>
        <w:bidi w:val="0"/>
        <w:spacing w:before="0" w:after="2"/>
        <w:jc w:val="both"/>
        <w:rPr/>
      </w:pPr>
      <w:r>
        <w:rPr/>
      </w:r>
    </w:p>
    <w:p>
      <w:pPr>
        <w:pStyle w:val="TextBody"/>
        <w:bidi w:val="0"/>
        <w:spacing w:before="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ind w:left="0" w:right="0" w:hanging="36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319" w:before="0" w:after="2"/>
        <w:jc w:val="both"/>
        <w:rPr>
          <w:rFonts w:ascii="Times New Roman;serif" w:hAnsi="Times New Roman;serif"/>
          <w:b/>
          <w:color w:val="000000"/>
          <w:sz w:val="20"/>
        </w:rPr>
      </w:pPr>
      <w:r>
        <w:rPr>
          <w:rFonts w:ascii="Times New Roman;serif" w:hAnsi="Times New Roman;serif"/>
          <w:b/>
          <w:color w:val="000000"/>
          <w:sz w:val="20"/>
        </w:rPr>
        <w:t>Key factors affecting performance</w:t>
      </w:r>
    </w:p>
    <w:p>
      <w:pPr>
        <w:pStyle w:val="TextBody"/>
        <w:bidi w:val="0"/>
        <w:spacing w:lineRule="auto" w:line="240" w:before="120" w:after="283"/>
        <w:jc w:val="both"/>
        <w:rPr/>
      </w:pPr>
      <w:r>
        <w:rPr>
          <w:rFonts w:ascii="Times New Roman;serif" w:hAnsi="Times New Roman;serif"/>
          <w:b w:val="false"/>
          <w:color w:val="000000"/>
          <w:sz w:val="20"/>
        </w:rPr>
        <w:t xml:space="preserve">Polestar's historic and future financial performance depends on numerous factors and trends. While these factors and trends provide opportunities for Polestar, they also pose risks and challenges as discussed in item 3.D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the 2025 20-F. The following paragraphs explain the key factors that impacted Polestar's financial performance during the six months ended June 30, 2026, as well as the key factors and trends which are expected to have a material effect on Polestar's financial condition and results of operations in future periods.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Market trends and competition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is a pure play, premium electric performance car brand, designing products engineered to excite consumers and drive change. Global consumer demand for Polestar's vehicles is primarily driven by:</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The speed and scale of the transition to electric vehicles from internal combustion engine cars ("ICEs") in general, which is driven by a number of factors, among which are affordability, range covered by an electric car on a single charge, availability of a sufficiently dense charging network, the general public's perception and concerns relating to electric vehicles, the scope and size of government incentives, availability of alternative mobility solutions, quality and availability of after-sales services, and the cost of electricity and alternative fuels as well as the overall cost of car ownership.</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Demand for premium performance vehicles in general, which is impacted by, among other things, changes in disposable income, the cost and availability of financing arrangements and customer preferences.</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Customer preferences within the luxury car segment and breadth and depth of available options.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competes with other pure play electric vehicle manufacturers, such as Tesla, as well as established premium automotive manufacturers that also sell vehicles with ICEs.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According to the annual publication "Global EV outlook 2026", released in May 2026, the International Energy Agency forecasts global sales of electric vehicles ("EVs"), which include battery electric vehicles ("BEVs") and plug-in hybrid vehicles ("PHEVs"), to reach 23 million in 2026. This represents an increase of approximately 10% from the agency's estimate of more than 20 million electric cars sold in 2025. EV sales represented a quarter of cars sold globally in 2025. A new factor in 2026 that highlights the economic benefits of driving EVs is the volatile and high oil price environment due to the conflict in the Middle East, although longer-term impacts of this trend are yet to be understood. The key factors driving the adoption of EVs still remain important, such as emissions targets and falling EVs prices.</w:t>
      </w:r>
    </w:p>
    <w:p>
      <w:pPr>
        <w:pStyle w:val="TextBody"/>
        <w:bidi w:val="0"/>
        <w:spacing w:lineRule="auto" w:line="240" w:before="120" w:after="283"/>
        <w:jc w:val="both"/>
        <w:rPr/>
      </w:pPr>
      <w:r>
        <w:rPr>
          <w:rFonts w:ascii="Times New Roman;serif" w:hAnsi="Times New Roman;serif"/>
          <w:b w:val="false"/>
          <w:color w:val="000000"/>
          <w:sz w:val="20"/>
          <w:shd w:fill="FFFFFF" w:val="clear"/>
        </w:rPr>
        <w:t>In the first six months of 2026, Benchmark Mineral Intelligence estimates that global EV sales reached 9.6 million vehicles, an increase of 2.4% year-on-year, which reflected different dynamics across regions.</w:t>
      </w:r>
      <w:r>
        <w:rPr>
          <w:color w:val="000000"/>
        </w:rPr>
        <w:t xml:space="preserve"> </w:t>
      </w:r>
      <w:r>
        <w:rPr>
          <w:rFonts w:ascii="Times New Roman;serif" w:hAnsi="Times New Roman;serif"/>
          <w:b w:val="false"/>
          <w:color w:val="000000"/>
          <w:sz w:val="20"/>
        </w:rPr>
        <w:t xml:space="preserve">EV sales in Europe grew by 27% year-on-year supported by high gasoline prices due to the conflict in the Middle East, updated or new consumer incentives in some EU countries, and the increasing availability of more affordable EV models. </w:t>
      </w:r>
      <w:r>
        <w:rPr>
          <w:rFonts w:ascii="Times New Roman;serif" w:hAnsi="Times New Roman;serif"/>
          <w:b w:val="false"/>
          <w:color w:val="000000"/>
          <w:sz w:val="20"/>
          <w:shd w:fill="FFFFFF" w:val="clear"/>
        </w:rPr>
        <w:t xml:space="preserve">Polestar sold approximately 80% of its volumes in the first half of the year in the European markets. </w:t>
      </w:r>
      <w:r>
        <w:rPr>
          <w:rFonts w:ascii="Times New Roman;serif" w:hAnsi="Times New Roman;serif"/>
          <w:b w:val="false"/>
          <w:color w:val="000000"/>
          <w:sz w:val="20"/>
        </w:rPr>
        <w:t xml:space="preserve">The expiration of federal tax credits for used and new electric vehicles at the end of the third quarter of 2025 held back sales in the U.S., which declined 20% year-on-year; </w:t>
      </w:r>
      <w:r>
        <w:rPr>
          <w:rFonts w:ascii="Times New Roman;serif" w:hAnsi="Times New Roman;serif"/>
          <w:b w:val="false"/>
          <w:color w:val="000000"/>
          <w:sz w:val="20"/>
          <w:shd w:fill="FFFFFF" w:val="clear"/>
        </w:rPr>
        <w:t>Polestar sold approximately 6% of its vehicles in this market in the period</w:t>
      </w:r>
      <w:r>
        <w:rPr>
          <w:rFonts w:ascii="Times New Roman;serif" w:hAnsi="Times New Roman;serif"/>
          <w:b w:val="false"/>
          <w:color w:val="000000"/>
          <w:sz w:val="20"/>
        </w:rPr>
        <w:t>. Sales in China were down 14% reflecting policy changes impacting the purchase price of electric vehicles. The rest of the world, excluding China, demonstrated a healthy growth year-on-year. Polestar's sales in the rest of the world represented 14% of its volumes.</w:t>
      </w:r>
    </w:p>
    <w:p>
      <w:pPr>
        <w:pStyle w:val="TextBody"/>
        <w:bidi w:val="0"/>
        <w:spacing w:lineRule="auto" w:line="240"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Uncertainty around tariffs and import duties poses downside risks to the automotive industry. Overall, continued government support, improving affordability of BEVs, higher density of the charging network and the level of fossil fuel prices will continue to determine the pace of adoption of BEVs.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Sales performance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first half of 2026, Polestar achieved an increase in retail sales volumes of approximately 0.4% compared to the same period in 2025. This growth was driven by the continued rollout of an even stronger product range compared to the previous period and the strong market performance of the Polestar 4. Additionally, the strategic shift toward "active selling" significantly contributed to higher volumes across all key markets with noticeable growth in Korea and the Southern European region.</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Polestar's sales and distribution model</w:t>
      </w:r>
    </w:p>
    <w:p>
      <w:pPr>
        <w:pStyle w:val="TextBody"/>
        <w:bidi w:val="0"/>
        <w:spacing w:lineRule="auto" w:line="240" w:before="120" w:after="283"/>
        <w:jc w:val="both"/>
        <w:rPr/>
      </w:pPr>
      <w:r>
        <w:rPr>
          <w:rFonts w:ascii="Times New Roman;serif" w:hAnsi="Times New Roman;serif"/>
          <w:b w:val="false"/>
          <w:color w:val="000000"/>
          <w:sz w:val="20"/>
          <w:shd w:fill="FFFFFF" w:val="clear"/>
        </w:rPr>
        <w:t>Polestar is present across key markets in Europe, North America, and the Asia Pacific region and sells its vehicles to both retail and fleet customers. Of the bra</w:t>
      </w:r>
      <w:r>
        <w:rPr>
          <w:rFonts w:ascii="Times New Roman;serif" w:hAnsi="Times New Roman;serif"/>
          <w:b w:val="false"/>
          <w:color w:val="000000"/>
          <w:sz w:val="20"/>
        </w:rPr>
        <w:t>nd's 28 mark</w:t>
      </w:r>
      <w:r>
        <w:rPr>
          <w:rFonts w:ascii="Times New Roman;serif" w:hAnsi="Times New Roman;serif"/>
          <w:b w:val="false"/>
          <w:color w:val="000000"/>
          <w:sz w:val="20"/>
          <w:shd w:fill="FFFFFF" w:val="clear"/>
        </w:rPr>
        <w:t>ets active throughout the first half of 2026, 19 are operated through Polestar's own dedicated sales units and, in nine, the Company leveraged strategic partnerships with importers. Towards the end of the first half of 2026, Polestar launched sales activities in Estonia in the Baltic region.</w:t>
      </w:r>
    </w:p>
    <w:p>
      <w:pPr>
        <w:pStyle w:val="TextBody"/>
        <w:bidi w:val="0"/>
        <w:spacing w:lineRule="auto" w:line="240"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first half of 2026, Polestar has also significantly expanded its global retail network, enhancing customer access and strengthening its presence in both established and emerging markets with a further 24 sales points opened with a total of 235 sales points as of June 30, 2026, predominantly in Europe. Since the start of 2026, Polestar signed up 20 new retail partners.</w:t>
      </w:r>
    </w:p>
    <w:p>
      <w:pPr>
        <w:pStyle w:val="TextBody"/>
        <w:bidi w:val="0"/>
        <w:spacing w:lineRule="auto" w:line="240"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Market demand and response </w:t>
      </w:r>
    </w:p>
    <w:p>
      <w:pPr>
        <w:pStyle w:val="TextBody"/>
        <w:bidi w:val="0"/>
        <w:spacing w:lineRule="auto" w:line="240"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Against the backdrop of a persisting challenging geopolitical environment and intensifying competition, Polestar continues to implement targeted actions to support sales of its models. These measures included pricing optimization, product and channel mix development, inventory management, and strategic marketing campaigns. </w:t>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ind w:left="0" w:right="0" w:hanging="36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Product portfolio and model mix</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Polestar's portfolio consisted of the following models open for orders: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Polestar 2 - As the most established model in the lineup, Polestar 2 continues to enjoy strong demand and maintains a competitive position in its segment.</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Polestar 3 - Since its launch in the late first half of 2024, Polestar 3 has steadily increased its segment share, fueled by positive media coverage, multiple industry accolades, and strong performance in range tests, including the winter El Prix 2025 range test.</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Polestar 4 coupé - A key strategic focus ever since Polestar started ramp-up of deliveries of the car in Q3 2024, Polestar 4 has made a significant contribution to overall volumes and enhanced brand visibility.</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Polestar 5 - A halo car for the brand, designed around the bespoke Polestar Performance Architecture ("PPA") platform, which is available to order now with first deliveries expected in Q3 2026. At the start of June 2026, the model received highly positive reviews during the global press drive boosting the brand's visibility and credibility in the premium performance EV segment.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Each Polestar model has a number of variants, and the list price varies for each variant of each model, as well as for the same variant in different markets. Therefore, Polestar's new car gross sales revenues are driven by the volume of cars sold, the mix of models and variants in those sales, the channel mix, as well as the market where those sales occur.</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first half of 2026, Polestar received several awards and accolades, with the most significant being:</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ECO Car Magazine's Used Car award for Polestar 2.</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The European Centre for Architecture, Art and Design's Green GOOD Design Award for Polestar 4.</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Gentleman's Journal's Design award for Polestar 5.</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Drive Car of the Year's best EV under $90,000 (Aus) for Polestar 5.</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Costs of sales and gross profit (loss)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status of production of each of our announced vehicle models in production and under development:</w:t>
      </w:r>
    </w:p>
    <w:tbl>
      <w:tblPr>
        <w:tblW w:w="10205" w:type="dxa"/>
        <w:jc w:val="left"/>
        <w:tblInd w:w="0" w:type="dxa"/>
        <w:tblLayout w:type="fixed"/>
        <w:tblCellMar>
          <w:top w:w="28" w:type="dxa"/>
          <w:left w:w="28" w:type="dxa"/>
          <w:bottom w:w="28" w:type="dxa"/>
          <w:right w:w="28" w:type="dxa"/>
        </w:tblCellMar>
      </w:tblPr>
      <w:tblGrid>
        <w:gridCol w:w="487"/>
        <w:gridCol w:w="428"/>
        <w:gridCol w:w="429"/>
        <w:gridCol w:w="852"/>
        <w:gridCol w:w="809"/>
        <w:gridCol w:w="811"/>
        <w:gridCol w:w="1185"/>
        <w:gridCol w:w="1011"/>
        <w:gridCol w:w="997"/>
        <w:gridCol w:w="983"/>
        <w:gridCol w:w="906"/>
        <w:gridCol w:w="1307"/>
      </w:tblGrid>
      <w:tr>
        <w:trPr/>
        <w:tc>
          <w:tcPr>
            <w:tcW w:w="48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1344" w:type="dxa"/>
            <w:gridSpan w:val="3"/>
            <w:tcBorders/>
            <w:shd w:fill="DBDBDB"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color w:val="000000"/>
                <w:sz w:val="20"/>
              </w:rPr>
            </w:pPr>
            <w:r>
              <w:rPr>
                <w:rFonts w:ascii="Times New Roman;serif" w:hAnsi="Times New Roman;serif"/>
                <w:b/>
                <w:color w:val="000000"/>
                <w:sz w:val="20"/>
              </w:rPr>
              <w:t>Model</w:t>
            </w:r>
          </w:p>
        </w:tc>
        <w:tc>
          <w:tcPr>
            <w:tcW w:w="2472" w:type="dxa"/>
            <w:gridSpan w:val="3"/>
            <w:tcBorders/>
            <w:shd w:fill="DBDBDB"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color w:val="000000"/>
                <w:sz w:val="20"/>
              </w:rPr>
            </w:pPr>
            <w:r>
              <w:rPr>
                <w:rFonts w:ascii="Times New Roman;serif" w:hAnsi="Times New Roman;serif"/>
                <w:b/>
                <w:color w:val="000000"/>
                <w:sz w:val="20"/>
              </w:rPr>
              <w:t>Production location</w:t>
            </w:r>
          </w:p>
        </w:tc>
        <w:tc>
          <w:tcPr>
            <w:tcW w:w="3193" w:type="dxa"/>
            <w:gridSpan w:val="3"/>
            <w:tcBorders/>
            <w:shd w:fill="DBDBDB"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color w:val="000000"/>
                <w:sz w:val="20"/>
              </w:rPr>
            </w:pPr>
            <w:r>
              <w:rPr>
                <w:rFonts w:ascii="Times New Roman;serif" w:hAnsi="Times New Roman;serif"/>
                <w:b/>
                <w:color w:val="000000"/>
                <w:sz w:val="20"/>
              </w:rPr>
              <w:t>Plant operator</w:t>
            </w:r>
          </w:p>
        </w:tc>
        <w:tc>
          <w:tcPr>
            <w:tcW w:w="3196" w:type="dxa"/>
            <w:gridSpan w:val="3"/>
            <w:tcBorders/>
            <w:shd w:fill="DBDBDB"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color w:val="000000"/>
                <w:sz w:val="20"/>
              </w:rPr>
            </w:pPr>
            <w:r>
              <w:rPr>
                <w:rFonts w:ascii="Times New Roman;serif" w:hAnsi="Times New Roman;serif"/>
                <w:b/>
                <w:color w:val="000000"/>
                <w:sz w:val="20"/>
              </w:rPr>
              <w:t>Status</w:t>
            </w:r>
          </w:p>
        </w:tc>
      </w:tr>
      <w:tr>
        <w:trPr/>
        <w:tc>
          <w:tcPr>
            <w:tcW w:w="13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
              <w:jc w:val="both"/>
              <w:rPr>
                <w:rFonts w:ascii="Times New Roman;serif" w:hAnsi="Times New Roman;serif"/>
                <w:b w:val="false"/>
                <w:color w:val="000000"/>
                <w:sz w:val="20"/>
              </w:rPr>
            </w:pPr>
            <w:r>
              <w:rPr>
                <w:rFonts w:ascii="Times New Roman;serif" w:hAnsi="Times New Roman;serif"/>
                <w:b w:val="false"/>
                <w:color w:val="000000"/>
                <w:sz w:val="20"/>
              </w:rPr>
              <w:t>Polestar 2</w:t>
            </w:r>
          </w:p>
        </w:tc>
        <w:tc>
          <w:tcPr>
            <w:tcW w:w="24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120" w:after="2"/>
              <w:jc w:val="both"/>
              <w:rPr>
                <w:rFonts w:ascii="Times New Roman;serif" w:hAnsi="Times New Roman;serif"/>
                <w:b w:val="false"/>
                <w:color w:val="000000"/>
                <w:sz w:val="20"/>
              </w:rPr>
            </w:pPr>
            <w:r>
              <w:rPr>
                <w:rFonts w:ascii="Times New Roman;serif" w:hAnsi="Times New Roman;serif"/>
                <w:b w:val="false"/>
                <w:color w:val="000000"/>
                <w:sz w:val="20"/>
              </w:rPr>
              <w:t>Taizhou, China</w:t>
            </w:r>
          </w:p>
        </w:tc>
        <w:tc>
          <w:tcPr>
            <w:tcW w:w="31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
              <w:jc w:val="both"/>
              <w:rPr>
                <w:rFonts w:ascii="Times New Roman;serif" w:hAnsi="Times New Roman;serif"/>
                <w:b w:val="false"/>
                <w:color w:val="000000"/>
                <w:sz w:val="20"/>
              </w:rPr>
            </w:pPr>
            <w:r>
              <w:rPr>
                <w:rFonts w:ascii="Times New Roman;serif" w:hAnsi="Times New Roman;serif"/>
                <w:b w:val="false"/>
                <w:color w:val="000000"/>
                <w:sz w:val="20"/>
              </w:rPr>
              <w:t>Volvo Cars</w:t>
            </w:r>
          </w:p>
        </w:tc>
        <w:tc>
          <w:tcPr>
            <w:tcW w:w="31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
              <w:jc w:val="both"/>
              <w:rPr>
                <w:rFonts w:ascii="Times New Roman;serif" w:hAnsi="Times New Roman;serif"/>
                <w:b w:val="false"/>
                <w:color w:val="000000"/>
                <w:sz w:val="20"/>
              </w:rPr>
            </w:pPr>
            <w:r>
              <w:rPr>
                <w:rFonts w:ascii="Times New Roman;serif" w:hAnsi="Times New Roman;serif"/>
                <w:b w:val="false"/>
                <w:color w:val="000000"/>
                <w:sz w:val="20"/>
              </w:rPr>
              <w:t>In production since H1 2020</w:t>
            </w:r>
          </w:p>
        </w:tc>
      </w:tr>
      <w:tr>
        <w:trPr/>
        <w:tc>
          <w:tcPr>
            <w:tcW w:w="1344" w:type="dxa"/>
            <w:gridSpan w:val="3"/>
            <w:tcBorders/>
            <w:shd w:fill="DBDBDB" w:val="clear"/>
            <w:tcMar>
              <w:top w:w="0" w:type="dxa"/>
              <w:left w:w="0" w:type="dxa"/>
              <w:bottom w:w="0" w:type="dxa"/>
              <w:right w:w="0" w:type="dxa"/>
            </w:tcMar>
            <w:vAlign w:val="center"/>
          </w:tcPr>
          <w:p>
            <w:pPr>
              <w:pStyle w:val="TableContents"/>
              <w:bidi w:val="0"/>
              <w:spacing w:lineRule="auto" w:line="268" w:before="0" w:after="2"/>
              <w:jc w:val="both"/>
              <w:rPr/>
            </w:pPr>
            <w:r>
              <w:rPr>
                <w:rFonts w:ascii="Times New Roman;serif" w:hAnsi="Times New Roman;serif"/>
                <w:b w:val="false"/>
                <w:color w:val="000000"/>
                <w:sz w:val="20"/>
              </w:rPr>
              <w:t xml:space="preserve">Polestar 2 </w:t>
            </w:r>
            <w:r>
              <w:rPr>
                <w:rFonts w:ascii="Times New Roman;serif" w:hAnsi="Times New Roman;serif"/>
                <w:b w:val="false"/>
                <w:i/>
                <w:color w:val="000000"/>
                <w:sz w:val="20"/>
              </w:rPr>
              <w:t>successor</w:t>
            </w:r>
          </w:p>
        </w:tc>
        <w:tc>
          <w:tcPr>
            <w:tcW w:w="2472" w:type="dxa"/>
            <w:gridSpan w:val="3"/>
            <w:tcBorders/>
            <w:shd w:fill="DBDBDB" w:val="clear"/>
            <w:tcMar>
              <w:top w:w="0" w:type="dxa"/>
              <w:left w:w="0" w:type="dxa"/>
              <w:bottom w:w="0" w:type="dxa"/>
              <w:right w:w="0" w:type="dxa"/>
            </w:tcMar>
            <w:vAlign w:val="center"/>
          </w:tcPr>
          <w:p>
            <w:pPr>
              <w:pStyle w:val="TableContents"/>
              <w:bidi w:val="0"/>
              <w:spacing w:lineRule="auto" w:line="268" w:before="0" w:after="2"/>
              <w:jc w:val="both"/>
              <w:rPr>
                <w:rFonts w:ascii="Times New Roman;serif" w:hAnsi="Times New Roman;serif"/>
                <w:b w:val="false"/>
                <w:color w:val="000000"/>
                <w:sz w:val="20"/>
              </w:rPr>
            </w:pPr>
            <w:r>
              <w:rPr>
                <w:rFonts w:ascii="Times New Roman;serif" w:hAnsi="Times New Roman;serif"/>
                <w:b w:val="false"/>
                <w:color w:val="000000"/>
                <w:sz w:val="20"/>
              </w:rPr>
              <w:t>TBA</w:t>
            </w:r>
          </w:p>
        </w:tc>
        <w:tc>
          <w:tcPr>
            <w:tcW w:w="3193" w:type="dxa"/>
            <w:gridSpan w:val="3"/>
            <w:tcBorders/>
            <w:shd w:fill="DBDBDB" w:val="clear"/>
            <w:tcMar>
              <w:top w:w="0" w:type="dxa"/>
              <w:left w:w="0" w:type="dxa"/>
              <w:bottom w:w="0" w:type="dxa"/>
              <w:right w:w="0" w:type="dxa"/>
            </w:tcMar>
            <w:vAlign w:val="center"/>
          </w:tcPr>
          <w:p>
            <w:pPr>
              <w:pStyle w:val="TableContents"/>
              <w:bidi w:val="0"/>
              <w:spacing w:lineRule="auto" w:line="268" w:before="0" w:after="2"/>
              <w:jc w:val="both"/>
              <w:rPr>
                <w:rFonts w:ascii="Times New Roman;serif" w:hAnsi="Times New Roman;serif"/>
                <w:b w:val="false"/>
                <w:color w:val="000000"/>
                <w:sz w:val="20"/>
              </w:rPr>
            </w:pPr>
            <w:r>
              <w:rPr>
                <w:rFonts w:ascii="Times New Roman;serif" w:hAnsi="Times New Roman;serif"/>
                <w:b w:val="false"/>
                <w:color w:val="000000"/>
                <w:sz w:val="20"/>
              </w:rPr>
              <w:t>TBA</w:t>
            </w:r>
          </w:p>
        </w:tc>
        <w:tc>
          <w:tcPr>
            <w:tcW w:w="3196" w:type="dxa"/>
            <w:gridSpan w:val="3"/>
            <w:tcBorders/>
            <w:shd w:fill="DBDBDB"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In development - launch planned for H1 2027</w:t>
            </w:r>
          </w:p>
        </w:tc>
      </w:tr>
      <w:tr>
        <w:trPr/>
        <w:tc>
          <w:tcPr>
            <w:tcW w:w="1344"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both"/>
              <w:rPr>
                <w:rFonts w:ascii="Times New Roman;serif" w:hAnsi="Times New Roman;serif"/>
                <w:b w:val="false"/>
                <w:color w:val="000000"/>
                <w:sz w:val="20"/>
              </w:rPr>
            </w:pPr>
            <w:r>
              <w:rPr>
                <w:rFonts w:ascii="Times New Roman;serif" w:hAnsi="Times New Roman;serif"/>
                <w:b w:val="false"/>
                <w:color w:val="000000"/>
                <w:sz w:val="20"/>
              </w:rPr>
              <w:t>Polestar 3</w:t>
            </w:r>
          </w:p>
        </w:tc>
        <w:tc>
          <w:tcPr>
            <w:tcW w:w="2472" w:type="dxa"/>
            <w:gridSpan w:val="3"/>
            <w:tcBorders/>
            <w:shd w:fill="FFFFFF" w:val="clear"/>
            <w:tcMar>
              <w:top w:w="0" w:type="dxa"/>
              <w:left w:w="0" w:type="dxa"/>
              <w:bottom w:w="0" w:type="dxa"/>
              <w:right w:w="0" w:type="dxa"/>
            </w:tcMar>
            <w:vAlign w:val="center"/>
          </w:tcPr>
          <w:p>
            <w:pPr>
              <w:pStyle w:val="TableContents"/>
              <w:bidi w:val="0"/>
              <w:spacing w:lineRule="auto" w:line="319" w:before="120" w:after="2"/>
              <w:jc w:val="left"/>
              <w:rPr>
                <w:rFonts w:ascii="Times New Roman;serif" w:hAnsi="Times New Roman;serif"/>
                <w:b w:val="false"/>
                <w:color w:val="000000"/>
                <w:sz w:val="20"/>
              </w:rPr>
            </w:pPr>
            <w:r>
              <w:rPr>
                <w:rFonts w:ascii="Times New Roman;serif" w:hAnsi="Times New Roman;serif"/>
                <w:b w:val="false"/>
                <w:color w:val="000000"/>
                <w:sz w:val="20"/>
              </w:rPr>
              <w:t>Chengdu, China / Charleston, U.S.</w:t>
            </w:r>
          </w:p>
        </w:tc>
        <w:tc>
          <w:tcPr>
            <w:tcW w:w="3193"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both"/>
              <w:rPr>
                <w:rFonts w:ascii="Times New Roman;serif" w:hAnsi="Times New Roman;serif"/>
                <w:b w:val="false"/>
                <w:color w:val="000000"/>
                <w:sz w:val="20"/>
              </w:rPr>
            </w:pPr>
            <w:r>
              <w:rPr>
                <w:rFonts w:ascii="Times New Roman;serif" w:hAnsi="Times New Roman;serif"/>
                <w:b w:val="false"/>
                <w:color w:val="000000"/>
                <w:sz w:val="20"/>
              </w:rPr>
              <w:t>Volvo Cars / Volvo Cars</w:t>
            </w:r>
          </w:p>
        </w:tc>
        <w:tc>
          <w:tcPr>
            <w:tcW w:w="3196"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In production since H1 2024 / In production since H2 2024</w:t>
            </w:r>
          </w:p>
        </w:tc>
      </w:tr>
      <w:tr>
        <w:trPr/>
        <w:tc>
          <w:tcPr>
            <w:tcW w:w="1344" w:type="dxa"/>
            <w:gridSpan w:val="3"/>
            <w:tcBorders/>
            <w:shd w:fill="DBDBDB" w:val="clear"/>
            <w:tcMar>
              <w:top w:w="0" w:type="dxa"/>
              <w:left w:w="0" w:type="dxa"/>
              <w:bottom w:w="0" w:type="dxa"/>
              <w:right w:w="0" w:type="dxa"/>
            </w:tcMar>
            <w:vAlign w:val="center"/>
          </w:tcPr>
          <w:p>
            <w:pPr>
              <w:pStyle w:val="TableContents"/>
              <w:bidi w:val="0"/>
              <w:spacing w:lineRule="auto" w:line="268" w:before="0" w:after="2"/>
              <w:jc w:val="both"/>
              <w:rPr>
                <w:rFonts w:ascii="Times New Roman;serif" w:hAnsi="Times New Roman;serif"/>
                <w:b w:val="false"/>
                <w:color w:val="000000"/>
                <w:sz w:val="20"/>
              </w:rPr>
            </w:pPr>
            <w:r>
              <w:rPr>
                <w:rFonts w:ascii="Times New Roman;serif" w:hAnsi="Times New Roman;serif"/>
                <w:b w:val="false"/>
                <w:color w:val="000000"/>
                <w:sz w:val="20"/>
              </w:rPr>
              <w:t>Polestar 4 coupé</w:t>
            </w:r>
          </w:p>
        </w:tc>
        <w:tc>
          <w:tcPr>
            <w:tcW w:w="2472" w:type="dxa"/>
            <w:gridSpan w:val="3"/>
            <w:tcBorders/>
            <w:shd w:fill="DBDBDB" w:val="clear"/>
            <w:tcMar>
              <w:top w:w="0" w:type="dxa"/>
              <w:left w:w="0" w:type="dxa"/>
              <w:bottom w:w="0" w:type="dxa"/>
              <w:right w:w="0" w:type="dxa"/>
            </w:tcMar>
            <w:vAlign w:val="center"/>
          </w:tcPr>
          <w:p>
            <w:pPr>
              <w:pStyle w:val="TableContents"/>
              <w:bidi w:val="0"/>
              <w:spacing w:lineRule="auto" w:line="268" w:before="120" w:after="2"/>
              <w:jc w:val="left"/>
              <w:rPr>
                <w:rFonts w:ascii="Times New Roman;serif" w:hAnsi="Times New Roman;serif"/>
                <w:b w:val="false"/>
                <w:color w:val="000000"/>
                <w:sz w:val="20"/>
              </w:rPr>
            </w:pPr>
            <w:r>
              <w:rPr>
                <w:rFonts w:ascii="Times New Roman;serif" w:hAnsi="Times New Roman;serif"/>
                <w:b w:val="false"/>
                <w:color w:val="000000"/>
                <w:sz w:val="20"/>
              </w:rPr>
              <w:t>Hangzhou Bay, China / Busan, South Korea</w:t>
            </w:r>
          </w:p>
        </w:tc>
        <w:tc>
          <w:tcPr>
            <w:tcW w:w="3193" w:type="dxa"/>
            <w:gridSpan w:val="3"/>
            <w:tcBorders/>
            <w:shd w:fill="DBDBDB" w:val="clear"/>
            <w:tcMar>
              <w:top w:w="0" w:type="dxa"/>
              <w:left w:w="0" w:type="dxa"/>
              <w:bottom w:w="0" w:type="dxa"/>
              <w:right w:w="0" w:type="dxa"/>
            </w:tcMar>
            <w:vAlign w:val="center"/>
          </w:tcPr>
          <w:p>
            <w:pPr>
              <w:pStyle w:val="TableContents"/>
              <w:bidi w:val="0"/>
              <w:spacing w:lineRule="auto" w:line="268" w:before="0" w:after="2"/>
              <w:jc w:val="both"/>
              <w:rPr>
                <w:rFonts w:ascii="Times New Roman;serif" w:hAnsi="Times New Roman;serif"/>
                <w:b w:val="false"/>
                <w:color w:val="000000"/>
                <w:sz w:val="20"/>
              </w:rPr>
            </w:pPr>
            <w:r>
              <w:rPr>
                <w:rFonts w:ascii="Times New Roman;serif" w:hAnsi="Times New Roman;serif"/>
                <w:b w:val="false"/>
                <w:color w:val="000000"/>
                <w:sz w:val="20"/>
              </w:rPr>
              <w:t>Geely / RK</w:t>
            </w:r>
          </w:p>
        </w:tc>
        <w:tc>
          <w:tcPr>
            <w:tcW w:w="3196" w:type="dxa"/>
            <w:gridSpan w:val="3"/>
            <w:tcBorders/>
            <w:shd w:fill="DBDBDB"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In production since H2 2023 / In production since H2 2025</w:t>
            </w:r>
          </w:p>
        </w:tc>
      </w:tr>
      <w:tr>
        <w:trPr/>
        <w:tc>
          <w:tcPr>
            <w:tcW w:w="1344"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both"/>
              <w:rPr>
                <w:rFonts w:ascii="Times New Roman;serif" w:hAnsi="Times New Roman;serif"/>
                <w:b w:val="false"/>
                <w:color w:val="000000"/>
                <w:sz w:val="20"/>
              </w:rPr>
            </w:pPr>
            <w:r>
              <w:rPr>
                <w:rFonts w:ascii="Times New Roman;serif" w:hAnsi="Times New Roman;serif"/>
                <w:b w:val="false"/>
                <w:color w:val="000000"/>
                <w:sz w:val="20"/>
              </w:rPr>
              <w:t>Polestar 4 SUV</w:t>
            </w:r>
          </w:p>
        </w:tc>
        <w:tc>
          <w:tcPr>
            <w:tcW w:w="2472" w:type="dxa"/>
            <w:gridSpan w:val="3"/>
            <w:tcBorders/>
            <w:shd w:fill="FFFFFF" w:val="clear"/>
            <w:tcMar>
              <w:top w:w="0" w:type="dxa"/>
              <w:left w:w="0" w:type="dxa"/>
              <w:bottom w:w="0" w:type="dxa"/>
              <w:right w:w="0" w:type="dxa"/>
            </w:tcMar>
            <w:vAlign w:val="center"/>
          </w:tcPr>
          <w:p>
            <w:pPr>
              <w:pStyle w:val="TableContents"/>
              <w:bidi w:val="0"/>
              <w:spacing w:lineRule="auto" w:line="268" w:before="120" w:after="2"/>
              <w:jc w:val="both"/>
              <w:rPr>
                <w:rFonts w:ascii="Times New Roman;serif" w:hAnsi="Times New Roman;serif"/>
                <w:b w:val="false"/>
                <w:color w:val="000000"/>
                <w:sz w:val="20"/>
              </w:rPr>
            </w:pPr>
            <w:r>
              <w:rPr>
                <w:rFonts w:ascii="Times New Roman;serif" w:hAnsi="Times New Roman;serif"/>
                <w:b w:val="false"/>
                <w:color w:val="000000"/>
                <w:sz w:val="20"/>
              </w:rPr>
              <w:t>Busan, South Korea</w:t>
            </w:r>
          </w:p>
        </w:tc>
        <w:tc>
          <w:tcPr>
            <w:tcW w:w="3193"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both"/>
              <w:rPr>
                <w:rFonts w:ascii="Times New Roman;serif" w:hAnsi="Times New Roman;serif"/>
                <w:b w:val="false"/>
                <w:color w:val="000000"/>
                <w:sz w:val="20"/>
              </w:rPr>
            </w:pPr>
            <w:r>
              <w:rPr>
                <w:rFonts w:ascii="Times New Roman;serif" w:hAnsi="Times New Roman;serif"/>
                <w:b w:val="false"/>
                <w:color w:val="000000"/>
                <w:sz w:val="20"/>
              </w:rPr>
              <w:t>RK</w:t>
            </w:r>
          </w:p>
        </w:tc>
        <w:tc>
          <w:tcPr>
            <w:tcW w:w="3196"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In development - start of production Q3 2026</w:t>
            </w:r>
          </w:p>
        </w:tc>
      </w:tr>
      <w:tr>
        <w:trPr/>
        <w:tc>
          <w:tcPr>
            <w:tcW w:w="1344" w:type="dxa"/>
            <w:gridSpan w:val="3"/>
            <w:tcBorders/>
            <w:shd w:fill="DBDBDB" w:val="clear"/>
            <w:tcMar>
              <w:top w:w="0" w:type="dxa"/>
              <w:left w:w="0" w:type="dxa"/>
              <w:bottom w:w="0" w:type="dxa"/>
              <w:right w:w="0" w:type="dxa"/>
            </w:tcMar>
            <w:vAlign w:val="center"/>
          </w:tcPr>
          <w:p>
            <w:pPr>
              <w:pStyle w:val="TableContents"/>
              <w:bidi w:val="0"/>
              <w:spacing w:lineRule="auto" w:line="268" w:before="0" w:after="2"/>
              <w:jc w:val="both"/>
              <w:rPr>
                <w:rFonts w:ascii="Times New Roman;serif" w:hAnsi="Times New Roman;serif"/>
                <w:b w:val="false"/>
                <w:color w:val="000000"/>
                <w:sz w:val="20"/>
              </w:rPr>
            </w:pPr>
            <w:r>
              <w:rPr>
                <w:rFonts w:ascii="Times New Roman;serif" w:hAnsi="Times New Roman;serif"/>
                <w:b w:val="false"/>
                <w:color w:val="000000"/>
                <w:sz w:val="20"/>
              </w:rPr>
              <w:t>Polestar 5</w:t>
            </w:r>
          </w:p>
        </w:tc>
        <w:tc>
          <w:tcPr>
            <w:tcW w:w="2472" w:type="dxa"/>
            <w:gridSpan w:val="3"/>
            <w:tcBorders/>
            <w:shd w:fill="DBDBDB" w:val="clear"/>
            <w:tcMar>
              <w:top w:w="0" w:type="dxa"/>
              <w:left w:w="0" w:type="dxa"/>
              <w:bottom w:w="0" w:type="dxa"/>
              <w:right w:w="0" w:type="dxa"/>
            </w:tcMar>
            <w:vAlign w:val="center"/>
          </w:tcPr>
          <w:p>
            <w:pPr>
              <w:pStyle w:val="TableContents"/>
              <w:bidi w:val="0"/>
              <w:spacing w:lineRule="auto" w:line="268" w:before="120" w:after="2"/>
              <w:jc w:val="both"/>
              <w:rPr>
                <w:rFonts w:ascii="Times New Roman;serif" w:hAnsi="Times New Roman;serif"/>
                <w:b w:val="false"/>
                <w:color w:val="000000"/>
                <w:sz w:val="20"/>
              </w:rPr>
            </w:pPr>
            <w:r>
              <w:rPr>
                <w:rFonts w:ascii="Times New Roman;serif" w:hAnsi="Times New Roman;serif"/>
                <w:b w:val="false"/>
                <w:color w:val="000000"/>
                <w:sz w:val="20"/>
              </w:rPr>
              <w:t>Wuhan and Chongqing, China</w:t>
            </w:r>
          </w:p>
        </w:tc>
        <w:tc>
          <w:tcPr>
            <w:tcW w:w="3193" w:type="dxa"/>
            <w:gridSpan w:val="3"/>
            <w:tcBorders/>
            <w:shd w:fill="DBDBDB" w:val="clear"/>
            <w:tcMar>
              <w:top w:w="0" w:type="dxa"/>
              <w:left w:w="0" w:type="dxa"/>
              <w:bottom w:w="0" w:type="dxa"/>
              <w:right w:w="0" w:type="dxa"/>
            </w:tcMar>
            <w:vAlign w:val="center"/>
          </w:tcPr>
          <w:p>
            <w:pPr>
              <w:pStyle w:val="TableContents"/>
              <w:bidi w:val="0"/>
              <w:spacing w:lineRule="auto" w:line="268" w:before="0" w:after="2"/>
              <w:jc w:val="both"/>
              <w:rPr>
                <w:rFonts w:ascii="Times New Roman;serif" w:hAnsi="Times New Roman;serif"/>
                <w:b w:val="false"/>
                <w:color w:val="000000"/>
                <w:sz w:val="20"/>
              </w:rPr>
            </w:pPr>
            <w:r>
              <w:rPr>
                <w:rFonts w:ascii="Times New Roman;serif" w:hAnsi="Times New Roman;serif"/>
                <w:b w:val="false"/>
                <w:color w:val="000000"/>
                <w:sz w:val="20"/>
              </w:rPr>
              <w:t>Geely</w:t>
            </w:r>
          </w:p>
        </w:tc>
        <w:tc>
          <w:tcPr>
            <w:tcW w:w="3196" w:type="dxa"/>
            <w:gridSpan w:val="3"/>
            <w:tcBorders/>
            <w:shd w:fill="DBDBDB"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In production since January 2026</w:t>
            </w:r>
          </w:p>
        </w:tc>
      </w:tr>
      <w:tr>
        <w:trPr/>
        <w:tc>
          <w:tcPr>
            <w:tcW w:w="1344"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both"/>
              <w:rPr>
                <w:rFonts w:ascii="Times New Roman;serif" w:hAnsi="Times New Roman;serif"/>
                <w:b w:val="false"/>
                <w:color w:val="000000"/>
                <w:sz w:val="20"/>
              </w:rPr>
            </w:pPr>
            <w:r>
              <w:rPr>
                <w:rFonts w:ascii="Times New Roman;serif" w:hAnsi="Times New Roman;serif"/>
                <w:b w:val="false"/>
                <w:color w:val="000000"/>
                <w:sz w:val="20"/>
              </w:rPr>
              <w:t>Polestar 6</w:t>
            </w:r>
          </w:p>
        </w:tc>
        <w:tc>
          <w:tcPr>
            <w:tcW w:w="2472"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both"/>
              <w:rPr>
                <w:rFonts w:ascii="Times New Roman;serif" w:hAnsi="Times New Roman;serif"/>
                <w:b w:val="false"/>
                <w:color w:val="000000"/>
                <w:sz w:val="20"/>
              </w:rPr>
            </w:pPr>
            <w:r>
              <w:rPr>
                <w:rFonts w:ascii="Times New Roman;serif" w:hAnsi="Times New Roman;serif"/>
                <w:b w:val="false"/>
                <w:color w:val="000000"/>
                <w:sz w:val="20"/>
              </w:rPr>
              <w:t>TBC, China</w:t>
            </w:r>
          </w:p>
        </w:tc>
        <w:tc>
          <w:tcPr>
            <w:tcW w:w="3193"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both"/>
              <w:rPr>
                <w:rFonts w:ascii="Times New Roman;serif" w:hAnsi="Times New Roman;serif"/>
                <w:b w:val="false"/>
                <w:color w:val="000000"/>
                <w:sz w:val="20"/>
              </w:rPr>
            </w:pPr>
            <w:r>
              <w:rPr>
                <w:rFonts w:ascii="Times New Roman;serif" w:hAnsi="Times New Roman;serif"/>
                <w:b w:val="false"/>
                <w:color w:val="000000"/>
                <w:sz w:val="20"/>
              </w:rPr>
              <w:t>Geely</w:t>
            </w:r>
          </w:p>
        </w:tc>
        <w:tc>
          <w:tcPr>
            <w:tcW w:w="3196"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In development</w:t>
            </w:r>
          </w:p>
        </w:tc>
      </w:tr>
      <w:tr>
        <w:trPr/>
        <w:tc>
          <w:tcPr>
            <w:tcW w:w="1344" w:type="dxa"/>
            <w:gridSpan w:val="3"/>
            <w:tcBorders/>
            <w:shd w:fill="DBDBDB" w:val="clear"/>
            <w:tcMar>
              <w:top w:w="0" w:type="dxa"/>
              <w:left w:w="0" w:type="dxa"/>
              <w:bottom w:w="0" w:type="dxa"/>
              <w:right w:w="0" w:type="dxa"/>
            </w:tcMar>
            <w:vAlign w:val="center"/>
          </w:tcPr>
          <w:p>
            <w:pPr>
              <w:pStyle w:val="TableContents"/>
              <w:bidi w:val="0"/>
              <w:spacing w:lineRule="auto" w:line="268" w:before="0" w:after="2"/>
              <w:jc w:val="both"/>
              <w:rPr>
                <w:rFonts w:ascii="Times New Roman;serif" w:hAnsi="Times New Roman;serif"/>
                <w:b w:val="false"/>
                <w:color w:val="000000"/>
                <w:sz w:val="20"/>
              </w:rPr>
            </w:pPr>
            <w:r>
              <w:rPr>
                <w:rFonts w:ascii="Times New Roman;serif" w:hAnsi="Times New Roman;serif"/>
                <w:b w:val="false"/>
                <w:color w:val="000000"/>
                <w:sz w:val="20"/>
              </w:rPr>
              <w:t>Polestar 7</w:t>
            </w:r>
          </w:p>
        </w:tc>
        <w:tc>
          <w:tcPr>
            <w:tcW w:w="2472" w:type="dxa"/>
            <w:gridSpan w:val="3"/>
            <w:tcBorders/>
            <w:shd w:fill="DBDBDB" w:val="clear"/>
            <w:tcMar>
              <w:top w:w="0" w:type="dxa"/>
              <w:left w:w="0" w:type="dxa"/>
              <w:bottom w:w="0" w:type="dxa"/>
              <w:right w:w="0" w:type="dxa"/>
            </w:tcMar>
            <w:vAlign w:val="center"/>
          </w:tcPr>
          <w:p>
            <w:pPr>
              <w:pStyle w:val="TableContents"/>
              <w:bidi w:val="0"/>
              <w:spacing w:lineRule="auto" w:line="268" w:before="120" w:after="2"/>
              <w:jc w:val="both"/>
              <w:rPr>
                <w:rFonts w:ascii="Times New Roman;serif" w:hAnsi="Times New Roman;serif"/>
                <w:b w:val="false"/>
                <w:color w:val="000000"/>
                <w:sz w:val="20"/>
              </w:rPr>
            </w:pPr>
            <w:r>
              <w:rPr>
                <w:rFonts w:ascii="Times New Roman;serif" w:hAnsi="Times New Roman;serif"/>
                <w:b w:val="false"/>
                <w:color w:val="000000"/>
                <w:sz w:val="20"/>
              </w:rPr>
              <w:t>Kosice, Slovakia</w:t>
            </w:r>
          </w:p>
        </w:tc>
        <w:tc>
          <w:tcPr>
            <w:tcW w:w="3193" w:type="dxa"/>
            <w:gridSpan w:val="3"/>
            <w:tcBorders/>
            <w:shd w:fill="DBDBDB"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Under assessment (Memorandum of Understanding signed)</w:t>
            </w:r>
          </w:p>
        </w:tc>
        <w:tc>
          <w:tcPr>
            <w:tcW w:w="3196" w:type="dxa"/>
            <w:gridSpan w:val="3"/>
            <w:tcBorders/>
            <w:shd w:fill="DBDBDB"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In development - launch planned for 2028</w:t>
            </w:r>
          </w:p>
        </w:tc>
      </w:tr>
    </w:tbl>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Polestar's ability to leverage the manufacturing footprint of both Volvo Cars and Geely provides it with access to a substantial combined installed production capacity. Polestar also plans to expand its production capacity to Europe, having signed a memorandum of understanding with Volvo Cars to have Polestar 7 manufactured in Kosice, Slovakia.</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most significant component of Polestar's cost of sales is the inventory cost of vehicles sold. Inventory cost is composed of all the costs directly related to the manufacture of Polestar's vehicles and the costs to bring the cars to their present location. This includes, among other expenditures, the amounts paid for materials, components and production cost (e.g. labor, overhead and depreciation and amortization) under the manufacturing and vehicle supply agreements with Volvo Cars and Geely and contracts with other third-party suppliers, costs of freight and any tariffs payable on the import of components and / or vehicles.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Other components of costs of sales include, when applicable: (i) impairment of tangible assets (property, plant and equipment), intangible assets and leased assets when there are indicators of impairment and the recoverable amount of one or more of Polestar's cash-generating units ("CGU") is below its carrying amount, which may be a result of, among other things, changes in forecasts of lifecycle volumes, prices, manufacturing costs and / or interest rates; (ii) changes in the net realizable value ("NRV") of inventory which is primarily driven by changes in the margin between the expected sales price of vehicles in inventory and their cost as well as the volume of this inventory; and (iii) warranty costs.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Polestar's gross margins are dependent upon its ability to grow sales of its vehicles and manage these costs as well as implement cost savings initiatives.</w:t>
      </w:r>
    </w:p>
    <w:p>
      <w:pPr>
        <w:pStyle w:val="TextBody"/>
        <w:bidi w:val="0"/>
        <w:spacing w:before="120" w:after="283"/>
        <w:ind w:left="0" w:right="0" w:hanging="36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Macroeconomic and geopolitical factors</w:t>
      </w:r>
    </w:p>
    <w:p>
      <w:pPr>
        <w:pStyle w:val="TextBody"/>
        <w:bidi w:val="0"/>
        <w:spacing w:lineRule="auto" w:line="240" w:before="240" w:after="283"/>
        <w:jc w:val="both"/>
        <w:rPr>
          <w:rFonts w:ascii="Times New Roman;serif" w:hAnsi="Times New Roman;serif"/>
          <w:b w:val="false"/>
          <w:i/>
          <w:color w:val="000000"/>
          <w:sz w:val="20"/>
        </w:rPr>
      </w:pPr>
      <w:r>
        <w:rPr>
          <w:rFonts w:ascii="Times New Roman;serif" w:hAnsi="Times New Roman;serif"/>
          <w:b w:val="false"/>
          <w:i/>
          <w:color w:val="000000"/>
          <w:sz w:val="20"/>
        </w:rPr>
        <w:t>Inflation and price risk</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Polestar's costs and expenses are impacted by, among other things, the prices of components, materials, labor and equipment used in the production of Polestar vehicles as well as the cost of freight. Historically the prices of lithium, cobalt, and nickel, which are used in car batteries, and oil, which has a significant impact on freight costs, have been volatile. The cost of labor and other inputs are generally linked to inflation.</w:t>
      </w:r>
    </w:p>
    <w:p>
      <w:pPr>
        <w:pStyle w:val="TextBody"/>
        <w:bidi w:val="0"/>
        <w:spacing w:lineRule="auto" w:line="240" w:before="240" w:after="283"/>
        <w:jc w:val="both"/>
        <w:rPr>
          <w:rFonts w:ascii="Times New Roman;serif" w:hAnsi="Times New Roman;serif"/>
          <w:b w:val="false"/>
          <w:i/>
          <w:color w:val="000000"/>
          <w:sz w:val="20"/>
        </w:rPr>
      </w:pPr>
      <w:r>
        <w:rPr>
          <w:rFonts w:ascii="Times New Roman;serif" w:hAnsi="Times New Roman;serif"/>
          <w:b w:val="false"/>
          <w:i/>
          <w:color w:val="000000"/>
          <w:sz w:val="20"/>
        </w:rPr>
        <w:t>Interest rates and foreign exchange rates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faces interest rate risks from its exposure to floating and variable interest rates primarily on its borrowings. The majority of Polestar's borrowings have floating rates and, therefore, its finance costs are linked to movements in interest rates as well as the volume of the borrowings. The most relevant interest rates are: 1-, 6- and 12-month Term SOFR, 3-month EURIBOR and 1-year LPR which are shown in the table below:</w:t>
      </w:r>
    </w:p>
    <w:tbl>
      <w:tblPr>
        <w:tblW w:w="7289" w:type="dxa"/>
        <w:jc w:val="left"/>
        <w:tblInd w:w="0" w:type="dxa"/>
        <w:tblLayout w:type="fixed"/>
        <w:tblCellMar>
          <w:top w:w="28" w:type="dxa"/>
          <w:left w:w="28" w:type="dxa"/>
          <w:bottom w:w="28" w:type="dxa"/>
          <w:right w:w="28" w:type="dxa"/>
        </w:tblCellMar>
      </w:tblPr>
      <w:tblGrid>
        <w:gridCol w:w="687"/>
        <w:gridCol w:w="604"/>
        <w:gridCol w:w="613"/>
        <w:gridCol w:w="889"/>
        <w:gridCol w:w="889"/>
        <w:gridCol w:w="892"/>
        <w:gridCol w:w="794"/>
        <w:gridCol w:w="794"/>
        <w:gridCol w:w="1127"/>
      </w:tblGrid>
      <w:tr>
        <w:trPr/>
        <w:tc>
          <w:tcPr>
            <w:tcW w:w="68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Index</w:t>
            </w:r>
          </w:p>
        </w:tc>
        <w:tc>
          <w:tcPr>
            <w:tcW w:w="2670"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Daily average rate in H1 2026</w:t>
            </w:r>
          </w:p>
          <w:p>
            <w:pPr>
              <w:pStyle w:val="TableContents"/>
              <w:bidi w:val="0"/>
              <w:spacing w:lineRule="auto" w:line="319" w:before="0" w:after="2"/>
              <w:jc w:val="center"/>
              <w:rPr>
                <w:color w:val="000000"/>
              </w:rPr>
            </w:pPr>
            <w:r>
              <w:rPr>
                <w:color w:val="000000"/>
              </w:rPr>
              <w:t> </w:t>
            </w:r>
            <w:r>
              <w:rPr>
                <w:rFonts w:ascii="Times New Roman;serif" w:hAnsi="Times New Roman;serif"/>
                <w:b/>
                <w:color w:val="000000"/>
                <w:sz w:val="20"/>
              </w:rPr>
              <w:t>(% per year)</w:t>
            </w:r>
          </w:p>
        </w:tc>
        <w:tc>
          <w:tcPr>
            <w:tcW w:w="2715"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Daily average rate in H1 2025</w:t>
            </w:r>
          </w:p>
          <w:p>
            <w:pPr>
              <w:pStyle w:val="TableContents"/>
              <w:bidi w:val="0"/>
              <w:spacing w:lineRule="auto" w:line="319" w:before="0" w:after="2"/>
              <w:jc w:val="center"/>
              <w:rPr>
                <w:color w:val="000000"/>
              </w:rPr>
            </w:pPr>
            <w:r>
              <w:rPr>
                <w:color w:val="000000"/>
              </w:rPr>
              <w:t> </w:t>
            </w:r>
            <w:r>
              <w:rPr>
                <w:rFonts w:ascii="Times New Roman;serif" w:hAnsi="Times New Roman;serif"/>
                <w:b/>
                <w:color w:val="000000"/>
                <w:sz w:val="20"/>
              </w:rPr>
              <w:t>(% per year)</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1-month Term SOFR</w:t>
            </w:r>
          </w:p>
        </w:tc>
        <w:tc>
          <w:tcPr>
            <w:tcW w:w="26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27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4.32</w:t>
            </w:r>
          </w:p>
        </w:tc>
      </w:tr>
      <w:tr>
        <w:trPr/>
        <w:tc>
          <w:tcPr>
            <w:tcW w:w="190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6-month Term SOFR</w:t>
            </w:r>
          </w:p>
        </w:tc>
        <w:tc>
          <w:tcPr>
            <w:tcW w:w="2670"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2715"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4.22</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12-month Term SOFR</w:t>
            </w:r>
          </w:p>
        </w:tc>
        <w:tc>
          <w:tcPr>
            <w:tcW w:w="2670"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2715"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4.05</w:t>
            </w:r>
          </w:p>
        </w:tc>
      </w:tr>
      <w:tr>
        <w:trPr/>
        <w:tc>
          <w:tcPr>
            <w:tcW w:w="190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3-month EURIBOR</w:t>
            </w:r>
          </w:p>
        </w:tc>
        <w:tc>
          <w:tcPr>
            <w:tcW w:w="2670"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2715"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2.33</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1-year LPR</w:t>
            </w:r>
          </w:p>
        </w:tc>
        <w:tc>
          <w:tcPr>
            <w:tcW w:w="2670"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2715"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3.07</w:t>
            </w:r>
          </w:p>
        </w:tc>
      </w:tr>
    </w:tbl>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global nature of Polestar's business exposes the Group's financial performance to risks arising from fluctuations in currency exchange rates ("FX rates"). Changes in FX rates primarily impact the Group's profit or loss when a Group entity has a monetary item denominated in a currency different from its functional currency, such as a foreign currency borrowing or a trade payable in a foreign currency. The Group presents foreign currency gains or losses related to its borrowings as part of finance income or finance expense. All other foreign currency gains or losses are presented as part of other operating income.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most relevant currency pairs for Polestar are:</w:t>
      </w:r>
    </w:p>
    <w:tbl>
      <w:tblPr>
        <w:tblW w:w="6088" w:type="dxa"/>
        <w:jc w:val="left"/>
        <w:tblInd w:w="0" w:type="dxa"/>
        <w:tblLayout w:type="fixed"/>
        <w:tblCellMar>
          <w:top w:w="28" w:type="dxa"/>
          <w:left w:w="28" w:type="dxa"/>
          <w:bottom w:w="28" w:type="dxa"/>
          <w:right w:w="28" w:type="dxa"/>
        </w:tblCellMar>
      </w:tblPr>
      <w:tblGrid>
        <w:gridCol w:w="440"/>
        <w:gridCol w:w="386"/>
        <w:gridCol w:w="389"/>
        <w:gridCol w:w="384"/>
        <w:gridCol w:w="384"/>
        <w:gridCol w:w="386"/>
        <w:gridCol w:w="514"/>
        <w:gridCol w:w="514"/>
        <w:gridCol w:w="516"/>
        <w:gridCol w:w="337"/>
        <w:gridCol w:w="337"/>
        <w:gridCol w:w="337"/>
        <w:gridCol w:w="337"/>
        <w:gridCol w:w="337"/>
        <w:gridCol w:w="490"/>
      </w:tblGrid>
      <w:tr>
        <w:trPr/>
        <w:tc>
          <w:tcPr>
            <w:tcW w:w="44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6"/>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18"/>
              </w:rPr>
            </w:pPr>
            <w:r>
              <w:rPr>
                <w:rFonts w:ascii="Times New Roman;serif" w:hAnsi="Times New Roman;serif"/>
                <w:b/>
                <w:color w:val="000000"/>
                <w:sz w:val="18"/>
              </w:rPr>
              <w:t xml:space="preserve">Rate as of </w:t>
            </w:r>
          </w:p>
        </w:tc>
        <w:tc>
          <w:tcPr>
            <w:tcW w:w="2175" w:type="dxa"/>
            <w:gridSpan w:val="6"/>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18"/>
              </w:rPr>
            </w:pPr>
            <w:r>
              <w:rPr>
                <w:rFonts w:ascii="Times New Roman;serif" w:hAnsi="Times New Roman;serif"/>
                <w:b/>
                <w:color w:val="000000"/>
                <w:sz w:val="18"/>
              </w:rPr>
              <w:t>End of day average rate in</w:t>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18"/>
              </w:rPr>
            </w:pPr>
            <w:r>
              <w:rPr>
                <w:rFonts w:ascii="Times New Roman;serif" w:hAnsi="Times New Roman;serif"/>
                <w:b/>
                <w:color w:val="000000"/>
                <w:sz w:val="18"/>
              </w:rPr>
              <w:t>Currency pair</w:t>
            </w:r>
          </w:p>
        </w:tc>
        <w:tc>
          <w:tcPr>
            <w:tcW w:w="11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18"/>
              </w:rPr>
            </w:pPr>
            <w:r>
              <w:rPr>
                <w:rFonts w:ascii="Times New Roman;serif" w:hAnsi="Times New Roman;serif"/>
                <w:b/>
                <w:color w:val="000000"/>
                <w:sz w:val="18"/>
              </w:rPr>
              <w:t>June 30, 2026</w:t>
            </w:r>
          </w:p>
        </w:tc>
        <w:tc>
          <w:tcPr>
            <w:tcW w:w="15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18"/>
              </w:rPr>
            </w:pPr>
            <w:r>
              <w:rPr>
                <w:rFonts w:ascii="Times New Roman;serif" w:hAnsi="Times New Roman;serif"/>
                <w:b/>
                <w:color w:val="000000"/>
                <w:sz w:val="18"/>
              </w:rPr>
              <w:t>H1 2026</w:t>
            </w:r>
          </w:p>
        </w:tc>
        <w:tc>
          <w:tcPr>
            <w:tcW w:w="11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18"/>
              </w:rPr>
            </w:pPr>
            <w:r>
              <w:rPr>
                <w:rFonts w:ascii="Times New Roman;serif" w:hAnsi="Times New Roman;serif"/>
                <w:b/>
                <w:color w:val="000000"/>
                <w:sz w:val="18"/>
              </w:rPr>
              <w:t>H1 2025</w:t>
            </w:r>
          </w:p>
        </w:tc>
      </w:tr>
      <w:tr>
        <w:trPr/>
        <w:tc>
          <w:tcPr>
            <w:tcW w:w="1215"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18"/>
              </w:rPr>
            </w:pPr>
            <w:r>
              <w:rPr>
                <w:rFonts w:ascii="Times New Roman;serif" w:hAnsi="Times New Roman;serif"/>
                <w:b w:val="false"/>
                <w:color w:val="000000"/>
                <w:sz w:val="18"/>
              </w:rPr>
              <w:t>CNY – SEK</w:t>
            </w:r>
          </w:p>
        </w:tc>
        <w:tc>
          <w:tcPr>
            <w:tcW w:w="115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18"/>
              </w:rPr>
            </w:pPr>
            <w:r>
              <w:rPr>
                <w:rFonts w:ascii="Times New Roman;serif" w:hAnsi="Times New Roman;serif"/>
                <w:b w:val="false"/>
                <w:color w:val="000000"/>
                <w:sz w:val="18"/>
              </w:rPr>
              <w:t>1.43</w:t>
            </w:r>
          </w:p>
        </w:tc>
        <w:tc>
          <w:tcPr>
            <w:tcW w:w="154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18"/>
              </w:rPr>
            </w:pPr>
            <w:r>
              <w:rPr>
                <w:rFonts w:ascii="Times New Roman;serif" w:hAnsi="Times New Roman;serif"/>
                <w:b w:val="false"/>
                <w:color w:val="000000"/>
                <w:sz w:val="18"/>
              </w:rPr>
              <w:t>1.32</w:t>
            </w:r>
          </w:p>
        </w:tc>
        <w:tc>
          <w:tcPr>
            <w:tcW w:w="101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18"/>
              </w:rPr>
            </w:pPr>
            <w:r>
              <w:rPr>
                <w:rFonts w:ascii="Times New Roman;serif" w:hAnsi="Times New Roman;serif"/>
                <w:b w:val="false"/>
                <w:color w:val="000000"/>
                <w:sz w:val="18"/>
              </w:rPr>
              <w:t>1.35</w:t>
            </w:r>
          </w:p>
        </w:tc>
        <w:tc>
          <w:tcPr>
            <w:tcW w:w="116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18"/>
              </w:rPr>
            </w:pPr>
            <w:r>
              <w:rPr>
                <w:rFonts w:ascii="Times New Roman;serif" w:hAnsi="Times New Roman;serif"/>
                <w:b w:val="false"/>
                <w:color w:val="000000"/>
                <w:sz w:val="18"/>
              </w:rPr>
              <w:t>1.40</w:t>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18"/>
              </w:rPr>
            </w:pPr>
            <w:r>
              <w:rPr>
                <w:rFonts w:ascii="Times New Roman;serif" w:hAnsi="Times New Roman;serif"/>
                <w:b w:val="false"/>
                <w:color w:val="000000"/>
                <w:sz w:val="18"/>
              </w:rPr>
              <w:t>USD – SEK</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18"/>
              </w:rPr>
            </w:pPr>
            <w:r>
              <w:rPr>
                <w:rFonts w:ascii="Times New Roman;serif" w:hAnsi="Times New Roman;serif"/>
                <w:b w:val="false"/>
                <w:color w:val="000000"/>
                <w:sz w:val="18"/>
              </w:rPr>
              <w:t>9.74</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18"/>
              </w:rPr>
            </w:pPr>
            <w:r>
              <w:rPr>
                <w:rFonts w:ascii="Times New Roman;serif" w:hAnsi="Times New Roman;serif"/>
                <w:b w:val="false"/>
                <w:color w:val="000000"/>
                <w:sz w:val="18"/>
              </w:rPr>
              <w:t>9.21</w:t>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18"/>
              </w:rPr>
            </w:pPr>
            <w:r>
              <w:rPr>
                <w:rFonts w:ascii="Times New Roman;serif" w:hAnsi="Times New Roman;serif"/>
                <w:b w:val="false"/>
                <w:color w:val="000000"/>
                <w:sz w:val="18"/>
              </w:rPr>
              <w:t>9.25</w:t>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18"/>
              </w:rPr>
            </w:pPr>
            <w:r>
              <w:rPr>
                <w:rFonts w:ascii="Times New Roman;serif" w:hAnsi="Times New Roman;serif"/>
                <w:b w:val="false"/>
                <w:color w:val="000000"/>
                <w:sz w:val="18"/>
              </w:rPr>
              <w:t>10.18</w:t>
            </w:r>
          </w:p>
        </w:tc>
      </w:tr>
      <w:tr>
        <w:trPr/>
        <w:tc>
          <w:tcPr>
            <w:tcW w:w="1215"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18"/>
              </w:rPr>
            </w:pPr>
            <w:r>
              <w:rPr>
                <w:rFonts w:ascii="Times New Roman;serif" w:hAnsi="Times New Roman;serif"/>
                <w:b w:val="false"/>
                <w:color w:val="000000"/>
                <w:sz w:val="18"/>
              </w:rPr>
              <w:t>CNY – USD</w:t>
            </w:r>
          </w:p>
        </w:tc>
        <w:tc>
          <w:tcPr>
            <w:tcW w:w="115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18"/>
              </w:rPr>
            </w:pPr>
            <w:r>
              <w:rPr>
                <w:rFonts w:ascii="Times New Roman;serif" w:hAnsi="Times New Roman;serif"/>
                <w:b w:val="false"/>
                <w:color w:val="000000"/>
                <w:sz w:val="18"/>
              </w:rPr>
              <w:t>0.15</w:t>
            </w:r>
          </w:p>
        </w:tc>
        <w:tc>
          <w:tcPr>
            <w:tcW w:w="154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18"/>
              </w:rPr>
            </w:pPr>
            <w:r>
              <w:rPr>
                <w:rFonts w:ascii="Times New Roman;serif" w:hAnsi="Times New Roman;serif"/>
                <w:b w:val="false"/>
                <w:color w:val="000000"/>
                <w:sz w:val="18"/>
              </w:rPr>
              <w:t>0.14</w:t>
            </w:r>
          </w:p>
        </w:tc>
        <w:tc>
          <w:tcPr>
            <w:tcW w:w="1011"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18"/>
              </w:rPr>
            </w:pPr>
            <w:r>
              <w:rPr>
                <w:rFonts w:ascii="Times New Roman;serif" w:hAnsi="Times New Roman;serif"/>
                <w:b w:val="false"/>
                <w:color w:val="000000"/>
                <w:sz w:val="18"/>
              </w:rPr>
              <w:t>0.15</w:t>
            </w:r>
          </w:p>
        </w:tc>
        <w:tc>
          <w:tcPr>
            <w:tcW w:w="116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18"/>
              </w:rPr>
            </w:pPr>
            <w:r>
              <w:rPr>
                <w:rFonts w:ascii="Times New Roman;serif" w:hAnsi="Times New Roman;serif"/>
                <w:b w:val="false"/>
                <w:color w:val="000000"/>
                <w:sz w:val="18"/>
              </w:rPr>
              <w:t>0.14</w:t>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18"/>
              </w:rPr>
            </w:pPr>
            <w:r>
              <w:rPr>
                <w:rFonts w:ascii="Times New Roman;serif" w:hAnsi="Times New Roman;serif"/>
                <w:b w:val="false"/>
                <w:color w:val="000000"/>
                <w:sz w:val="18"/>
              </w:rPr>
              <w:t>EUR – USD</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18"/>
              </w:rPr>
            </w:pPr>
            <w:r>
              <w:rPr>
                <w:rFonts w:ascii="Times New Roman;serif" w:hAnsi="Times New Roman;serif"/>
                <w:b w:val="false"/>
                <w:color w:val="000000"/>
                <w:sz w:val="18"/>
              </w:rPr>
              <w:t>1.17</w:t>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18"/>
              </w:rPr>
            </w:pPr>
            <w:r>
              <w:rPr>
                <w:rFonts w:ascii="Times New Roman;serif" w:hAnsi="Times New Roman;serif"/>
                <w:b w:val="false"/>
                <w:color w:val="000000"/>
                <w:sz w:val="18"/>
              </w:rPr>
              <w:t>1.09</w:t>
            </w:r>
          </w:p>
        </w:tc>
      </w:tr>
      <w:tr>
        <w:trPr/>
        <w:tc>
          <w:tcPr>
            <w:tcW w:w="1215"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18"/>
              </w:rPr>
            </w:pPr>
            <w:r>
              <w:rPr>
                <w:rFonts w:ascii="Times New Roman;serif" w:hAnsi="Times New Roman;serif"/>
                <w:b w:val="false"/>
                <w:color w:val="000000"/>
                <w:sz w:val="18"/>
              </w:rPr>
              <w:t>EUR – SEK</w:t>
            </w:r>
          </w:p>
        </w:tc>
        <w:tc>
          <w:tcPr>
            <w:tcW w:w="115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18"/>
              </w:rPr>
            </w:pPr>
            <w:r>
              <w:rPr>
                <w:rFonts w:ascii="Times New Roman;serif" w:hAnsi="Times New Roman;serif"/>
                <w:b w:val="false"/>
                <w:color w:val="000000"/>
                <w:sz w:val="18"/>
              </w:rPr>
              <w:t>11.09</w:t>
            </w:r>
          </w:p>
        </w:tc>
        <w:tc>
          <w:tcPr>
            <w:tcW w:w="154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18"/>
              </w:rPr>
            </w:pPr>
            <w:r>
              <w:rPr>
                <w:rFonts w:ascii="Times New Roman;serif" w:hAnsi="Times New Roman;serif"/>
                <w:b w:val="false"/>
                <w:color w:val="000000"/>
                <w:sz w:val="18"/>
              </w:rPr>
              <w:t>10.82</w:t>
            </w:r>
          </w:p>
        </w:tc>
        <w:tc>
          <w:tcPr>
            <w:tcW w:w="1011"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18"/>
              </w:rPr>
            </w:pPr>
            <w:r>
              <w:rPr>
                <w:rFonts w:ascii="Times New Roman;serif" w:hAnsi="Times New Roman;serif"/>
                <w:b w:val="false"/>
                <w:color w:val="000000"/>
                <w:sz w:val="18"/>
              </w:rPr>
              <w:t>10.79</w:t>
            </w:r>
          </w:p>
        </w:tc>
        <w:tc>
          <w:tcPr>
            <w:tcW w:w="116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18"/>
              </w:rPr>
            </w:pPr>
            <w:r>
              <w:rPr>
                <w:rFonts w:ascii="Times New Roman;serif" w:hAnsi="Times New Roman;serif"/>
                <w:b w:val="false"/>
                <w:color w:val="000000"/>
                <w:sz w:val="18"/>
              </w:rPr>
              <w:t>11.10</w:t>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18"/>
              </w:rPr>
            </w:pPr>
            <w:r>
              <w:rPr>
                <w:rFonts w:ascii="Times New Roman;serif" w:hAnsi="Times New Roman;serif"/>
                <w:b w:val="false"/>
                <w:color w:val="000000"/>
                <w:sz w:val="18"/>
              </w:rPr>
              <w:t>GBP – SEK</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18"/>
              </w:rPr>
            </w:pPr>
            <w:r>
              <w:rPr>
                <w:rFonts w:ascii="Times New Roman;serif" w:hAnsi="Times New Roman;serif"/>
                <w:b w:val="false"/>
                <w:color w:val="000000"/>
                <w:sz w:val="18"/>
              </w:rPr>
              <w:t>12.87</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18"/>
              </w:rPr>
            </w:pPr>
            <w:r>
              <w:rPr>
                <w:rFonts w:ascii="Times New Roman;serif" w:hAnsi="Times New Roman;serif"/>
                <w:b w:val="false"/>
                <w:color w:val="000000"/>
                <w:sz w:val="18"/>
              </w:rPr>
              <w:t>12.40</w:t>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18"/>
              </w:rPr>
            </w:pPr>
            <w:r>
              <w:rPr>
                <w:rFonts w:ascii="Times New Roman;serif" w:hAnsi="Times New Roman;serif"/>
                <w:b w:val="false"/>
                <w:color w:val="000000"/>
                <w:sz w:val="18"/>
              </w:rPr>
              <w:t>12.44</w:t>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18"/>
              </w:rPr>
            </w:pPr>
            <w:r>
              <w:rPr>
                <w:rFonts w:ascii="Times New Roman;serif" w:hAnsi="Times New Roman;serif"/>
                <w:b w:val="false"/>
                <w:color w:val="000000"/>
                <w:sz w:val="18"/>
              </w:rPr>
              <w:t>13.18</w:t>
            </w:r>
          </w:p>
        </w:tc>
      </w:tr>
      <w:tr>
        <w:trPr/>
        <w:tc>
          <w:tcPr>
            <w:tcW w:w="1215"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18"/>
              </w:rPr>
            </w:pPr>
            <w:r>
              <w:rPr>
                <w:rFonts w:ascii="Times New Roman;serif" w:hAnsi="Times New Roman;serif"/>
                <w:b w:val="false"/>
                <w:color w:val="000000"/>
                <w:sz w:val="18"/>
              </w:rPr>
              <w:t>USD – GBP</w:t>
            </w:r>
          </w:p>
        </w:tc>
        <w:tc>
          <w:tcPr>
            <w:tcW w:w="115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18"/>
              </w:rPr>
            </w:pPr>
            <w:r>
              <w:rPr>
                <w:rFonts w:ascii="Times New Roman;serif" w:hAnsi="Times New Roman;serif"/>
                <w:b w:val="false"/>
                <w:color w:val="000000"/>
                <w:sz w:val="18"/>
              </w:rPr>
              <w:t>0.76</w:t>
            </w:r>
          </w:p>
        </w:tc>
        <w:tc>
          <w:tcPr>
            <w:tcW w:w="154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18"/>
              </w:rPr>
            </w:pPr>
            <w:r>
              <w:rPr>
                <w:rFonts w:ascii="Times New Roman;serif" w:hAnsi="Times New Roman;serif"/>
                <w:b w:val="false"/>
                <w:color w:val="000000"/>
                <w:sz w:val="18"/>
              </w:rPr>
              <w:t>0.74</w:t>
            </w:r>
          </w:p>
        </w:tc>
        <w:tc>
          <w:tcPr>
            <w:tcW w:w="1011"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18"/>
              </w:rPr>
            </w:pPr>
            <w:r>
              <w:rPr>
                <w:rFonts w:ascii="Times New Roman;serif" w:hAnsi="Times New Roman;serif"/>
                <w:b w:val="false"/>
                <w:color w:val="000000"/>
                <w:sz w:val="18"/>
              </w:rPr>
              <w:t>0.74</w:t>
            </w:r>
          </w:p>
        </w:tc>
        <w:tc>
          <w:tcPr>
            <w:tcW w:w="116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18"/>
              </w:rPr>
            </w:pPr>
            <w:r>
              <w:rPr>
                <w:rFonts w:ascii="Times New Roman;serif" w:hAnsi="Times New Roman;serif"/>
                <w:b w:val="false"/>
                <w:color w:val="000000"/>
                <w:sz w:val="18"/>
              </w:rPr>
              <w:t>0.77</w:t>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18"/>
              </w:rPr>
            </w:pPr>
            <w:r>
              <w:rPr>
                <w:rFonts w:ascii="Times New Roman;serif" w:hAnsi="Times New Roman;serif"/>
                <w:b w:val="false"/>
                <w:color w:val="000000"/>
                <w:sz w:val="18"/>
              </w:rPr>
              <w:t>KRW – SEK</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18"/>
              </w:rPr>
            </w:pPr>
            <w:r>
              <w:rPr>
                <w:rFonts w:ascii="Times New Roman;serif" w:hAnsi="Times New Roman;serif"/>
                <w:b w:val="false"/>
                <w:color w:val="000000"/>
                <w:sz w:val="18"/>
              </w:rPr>
              <w:t>0.0063</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18"/>
              </w:rPr>
            </w:pPr>
            <w:r>
              <w:rPr>
                <w:rFonts w:ascii="Times New Roman;serif" w:hAnsi="Times New Roman;serif"/>
                <w:b w:val="false"/>
                <w:color w:val="000000"/>
                <w:sz w:val="18"/>
              </w:rPr>
              <w:t>0.0064</w:t>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18"/>
              </w:rPr>
            </w:pPr>
            <w:r>
              <w:rPr>
                <w:rFonts w:ascii="Times New Roman;serif" w:hAnsi="Times New Roman;serif"/>
                <w:b w:val="false"/>
                <w:color w:val="000000"/>
                <w:sz w:val="18"/>
              </w:rPr>
              <w:t>0.0062</w:t>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18"/>
              </w:rPr>
            </w:pPr>
            <w:r>
              <w:rPr>
                <w:rFonts w:ascii="Times New Roman;serif" w:hAnsi="Times New Roman;serif"/>
                <w:b w:val="false"/>
                <w:color w:val="000000"/>
                <w:sz w:val="18"/>
              </w:rPr>
              <w:t>0.0071</w:t>
            </w:r>
          </w:p>
        </w:tc>
      </w:tr>
    </w:tbl>
    <w:p>
      <w:pPr>
        <w:pStyle w:val="TextBody"/>
        <w:bidi w:val="0"/>
        <w:spacing w:lineRule="auto" w:line="240" w:before="240" w:after="283"/>
        <w:jc w:val="both"/>
        <w:rPr>
          <w:rFonts w:ascii="Times New Roman;serif" w:hAnsi="Times New Roman;serif"/>
          <w:b w:val="false"/>
          <w:i/>
          <w:color w:val="000000"/>
          <w:sz w:val="20"/>
        </w:rPr>
      </w:pPr>
      <w:r>
        <w:rPr>
          <w:rFonts w:ascii="Times New Roman;serif" w:hAnsi="Times New Roman;serif"/>
          <w:b w:val="false"/>
          <w:i/>
          <w:color w:val="000000"/>
          <w:sz w:val="20"/>
        </w:rPr>
        <w:t>Tariffs and trade policies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implementation of higher tariffs by the U.S. in 2025 and the EU in October 2024 on BEVs, components, and raw materials imported from China has introduced new headwinds for globally integrated manufacturers such as Polestar. Given Polestar's utilization of manufacturing resources in China and many car-makers' reliance on components from China, these tariffs are increasing cost pressures on Polestar, and the industry as a whole.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For Polestar, elevated tariffs may impact pricing flexibility, volume and margin performance. The Company is actively advancing its manufacturing diversification strategy, including North America, Asia and Europe (e.g., Polestar 3 in the U.S., Polestar 4 in South Korea and Polestar 7 in Slovakia), to mitigate medium- to long-term exposure.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U.S. Polestar is currently importing vehicles manufactured in South Korea but will not be able to import new vehicles when transitioning to model year 2027. This is due to the new U.S. Information and Communications Technology and Services ("ICTS") regulation.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continues to monitor the geopolitical trade environment and is taking proactive measures to preserve profitability, safeguard delivery timelines, and ensure alignment with long-term electrification strategies.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Other key factors impacting performance</w:t>
      </w:r>
    </w:p>
    <w:p>
      <w:pPr>
        <w:pStyle w:val="TextBody"/>
        <w:bidi w:val="0"/>
        <w:spacing w:lineRule="auto" w:line="240" w:before="120" w:after="283"/>
        <w:jc w:val="both"/>
        <w:rPr/>
      </w:pPr>
      <w:r>
        <w:rPr>
          <w:rFonts w:ascii="Times New Roman;serif" w:hAnsi="Times New Roman;serif"/>
          <w:b w:val="false"/>
          <w:color w:val="000000"/>
          <w:sz w:val="20"/>
        </w:rPr>
        <w:t>During the first half of 2026</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0"/>
        </w:rPr>
        <w:t>Polestar has continued to implement changes and headcount reductions to its cost structure in order to maintain competitiveness and improve its financial results. This includes restructuring efforts initiated in 2025 (mainly the R&amp;D and Procurement departments in the UK and manufacturing in China), that continued into the first half of 2026, mainly impacting the R&amp;D department in Sweden.</w:t>
      </w:r>
    </w:p>
    <w:p>
      <w:pPr>
        <w:pStyle w:val="TextBody"/>
        <w:bidi w:val="0"/>
        <w:spacing w:before="120" w:after="283"/>
        <w:ind w:left="0" w:right="0" w:hanging="360"/>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has also continued the cost discipline program implemented in 2025 towards reductions in general and administrative activities through continuous improvements in operational efficiency, resulting in reduced costs during the first half of 2026.</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Going forward, the benefits of the R&amp;D, Procurement and Manufacturing restructuring are expected to impact positively towards the end of the fourth quarter 2026 with the full financial benefit to come in 2027.</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U.S. Restructuring</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June 25, 2026, Polestar announced that it was informed by the U.S. Department of Commerce's Bureau of Industry and Security of its decision to not grant Polestar an authorization under the current Connected Vehicle Rule to sell vehicles in the U.S. from model year 2027 onwards. The Company expects to continue selling previous model years in the U.S. from its inventory after which it will cease the sale of new vehicles, with its remaining activities in the U.S. then expected to focus on supporting customers in the U.S., including providing access to its service network and honoring warranty and other product commitments. </w:t>
      </w:r>
    </w:p>
    <w:p>
      <w:pPr>
        <w:pStyle w:val="TextBody"/>
        <w:bidi w:val="0"/>
        <w:spacing w:lineRule="auto" w:line="240" w:before="120" w:after="283"/>
        <w:jc w:val="both"/>
        <w:rPr/>
      </w:pPr>
      <w:r>
        <w:rPr>
          <w:rFonts w:ascii="Times New Roman;serif" w:hAnsi="Times New Roman;serif"/>
          <w:b w:val="false"/>
          <w:color w:val="000000"/>
          <w:sz w:val="20"/>
        </w:rPr>
        <w:t xml:space="preserve">As a result of the Bureau of Industry and Security decision, Polestar has implemented a number of measures affecting its U.S. new vehicles sales operations, including actions relating to employees, dealers and other commercial arrangements (the "U.S. Restructuring"). While Polestar will continue to perform certain activities in the U.S. to support its existing customers, the aforementioned actions, together with the resulting effects on vehicles and related assets, led to material adjustments that are included in the Company's interim financial statements for the six-month period ended June 30, 2026. For more information on the nature of these adjustments please see </w:t>
      </w:r>
      <w:r>
        <w:rPr>
          <w:rFonts w:ascii="Times New Roman;serif" w:hAnsi="Times New Roman;serif"/>
          <w:b w:val="false"/>
          <w:i/>
          <w:color w:val="000000"/>
          <w:sz w:val="20"/>
        </w:rPr>
        <w:t>Note 1 - Overview and basis of preparation</w:t>
      </w:r>
      <w:r>
        <w:rPr>
          <w:color w:val="000000"/>
        </w:rPr>
        <w:t xml:space="preserve"> </w:t>
      </w:r>
      <w:r>
        <w:rPr>
          <w:rFonts w:ascii="Times New Roman;serif" w:hAnsi="Times New Roman;serif"/>
          <w:b w:val="false"/>
          <w:color w:val="000000"/>
          <w:sz w:val="20"/>
        </w:rPr>
        <w:t>in the Unaudited Condensed Consolidated Interim Financial Statements included elsewhere in this report.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Noting the significant judgement and subjectivity involved in arriving at these calculations, in aggregate the Company estimates that the U.S. operations increased its consolidated operating loss by approximately $211 million during the six months ended June 30, 2026, compared to an increase of approximately $110 million in the six months ended June 30, 2025, and that the U.S. operations increased its consolidated net loss by approximately $211 million during the six months ended June 30, 2026, compared to an increase of approximately $104 million in the six months ended June 30, 2025.</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Based on current estimates, approximately $130 million of negative adjustments related to U.S. operations arose as a result of the decision from the U.S. Department of Commerce's Bureau of Industry and Security and are included in the Company's consolidated operating loss and net loss for the six months ended June 30, 2026. These adjustments primarily related to residual value guarantees costs, net realizable value of inventory and restructuring provisions related to employees and suppliers / partners incurred in the U.S in the reporting period. While these adjustments reflect the Company's assessment of the U.S. Restructuring based on current information, further negative adjustments should be expected in future periods to reflect additional costs related to personnel and inventory as the U.S. Restructuring proceeds through its phases.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40" w:before="120" w:after="283"/>
        <w:jc w:val="both"/>
        <w:rPr/>
      </w:pPr>
      <w:r>
        <w:rPr>
          <w:rFonts w:ascii="Times New Roman;serif" w:hAnsi="Times New Roman;serif"/>
          <w:b w:val="false"/>
          <w:color w:val="000000"/>
          <w:sz w:val="20"/>
        </w:rPr>
        <w:t xml:space="preserve">Polestar conducts business under one operating segment with commercial operations in Europe, North America, China, Asia-Pacific, and various importer markets. Refer to </w:t>
      </w:r>
      <w:r>
        <w:rPr>
          <w:rFonts w:ascii="Times New Roman;serif" w:hAnsi="Times New Roman;serif"/>
          <w:b w:val="false"/>
          <w:i/>
          <w:color w:val="000000"/>
          <w:sz w:val="20"/>
        </w:rPr>
        <w:t>Note 1 - Overview and basis of preparation</w:t>
      </w:r>
      <w:r>
        <w:rPr>
          <w:color w:val="000000"/>
        </w:rPr>
        <w:t xml:space="preserve"> </w:t>
      </w:r>
      <w:r>
        <w:rPr>
          <w:rFonts w:ascii="Times New Roman;serif" w:hAnsi="Times New Roman;serif"/>
          <w:b w:val="false"/>
          <w:color w:val="000000"/>
          <w:sz w:val="20"/>
        </w:rPr>
        <w:t xml:space="preserve">in the Unaudited Condensed Consolidated Interim Financial Statements included elsewhere in this report for more information on the basis of presentation. Refer to </w:t>
      </w:r>
      <w:r>
        <w:rPr>
          <w:rFonts w:ascii="Times New Roman;serif" w:hAnsi="Times New Roman;serif"/>
          <w:b w:val="false"/>
          <w:i/>
          <w:color w:val="000000"/>
          <w:sz w:val="20"/>
        </w:rPr>
        <w:t xml:space="preserve">Note 2 - Material accounting policies and judgements </w:t>
      </w:r>
      <w:r>
        <w:rPr>
          <w:rFonts w:ascii="Times New Roman;serif" w:hAnsi="Times New Roman;serif"/>
          <w:b w:val="false"/>
          <w:color w:val="000000"/>
          <w:sz w:val="20"/>
        </w:rPr>
        <w:t>in the Consolidated Financial Statements included in the 2025 20-F for more information related to segment reporting</w:t>
      </w:r>
      <w:r>
        <w:rPr>
          <w:rFonts w:ascii="Times New Roman;serif" w:hAnsi="Times New Roman;serif"/>
          <w:b w:val="false"/>
          <w:i/>
          <w:color w:val="000000"/>
          <w:sz w:val="20"/>
        </w:rPr>
        <w:t>.</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Comparison of the six months ended June 30, 2026 and 2025</w:t>
      </w:r>
    </w:p>
    <w:p>
      <w:pPr>
        <w:pStyle w:val="TextBody"/>
        <w:bidi w:val="0"/>
        <w:spacing w:lineRule="auto" w:line="240"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Polestar's Unaudited Condensed Consolidated Statement of Loss and Comprehensive Loss for the six months ended June 30, 2026 and 2025.</w:t>
      </w:r>
    </w:p>
    <w:p>
      <w:pPr>
        <w:pStyle w:val="TextBody"/>
        <w:bidi w:val="0"/>
        <w:spacing w:before="120" w:after="283"/>
        <w:ind w:left="0" w:right="0" w:hanging="360"/>
        <w:jc w:val="both"/>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tbl>
      <w:tblPr>
        <w:tblW w:w="9889" w:type="dxa"/>
        <w:jc w:val="left"/>
        <w:tblInd w:w="0" w:type="dxa"/>
        <w:tblLayout w:type="fixed"/>
        <w:tblCellMar>
          <w:top w:w="28" w:type="dxa"/>
          <w:left w:w="28" w:type="dxa"/>
          <w:bottom w:w="28" w:type="dxa"/>
          <w:right w:w="28" w:type="dxa"/>
        </w:tblCellMar>
      </w:tblPr>
      <w:tblGrid>
        <w:gridCol w:w="1780"/>
        <w:gridCol w:w="1567"/>
        <w:gridCol w:w="1573"/>
        <w:gridCol w:w="528"/>
        <w:gridCol w:w="522"/>
        <w:gridCol w:w="491"/>
        <w:gridCol w:w="528"/>
        <w:gridCol w:w="522"/>
        <w:gridCol w:w="496"/>
        <w:gridCol w:w="420"/>
        <w:gridCol w:w="421"/>
        <w:gridCol w:w="145"/>
        <w:gridCol w:w="342"/>
        <w:gridCol w:w="348"/>
        <w:gridCol w:w="206"/>
      </w:tblGrid>
      <w:tr>
        <w:trPr/>
        <w:tc>
          <w:tcPr>
            <w:tcW w:w="1780"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6"/>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c>
          <w:tcPr>
            <w:tcW w:w="1882" w:type="dxa"/>
            <w:gridSpan w:val="6"/>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Variance</w:t>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15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9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w:t>
            </w:r>
          </w:p>
        </w:tc>
        <w:tc>
          <w:tcPr>
            <w:tcW w:w="8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w:t>
            </w:r>
          </w:p>
        </w:tc>
      </w:tr>
      <w:tr>
        <w:trPr/>
        <w:tc>
          <w:tcPr>
            <w:tcW w:w="4920"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5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1,360,091 </w:t>
            </w:r>
          </w:p>
        </w:tc>
        <w:tc>
          <w:tcPr>
            <w:tcW w:w="49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1,422,605 </w:t>
            </w:r>
          </w:p>
        </w:tc>
        <w:tc>
          <w:tcPr>
            <w:tcW w:w="49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(62,514)</w:t>
            </w:r>
          </w:p>
        </w:tc>
        <w:tc>
          <w:tcPr>
            <w:tcW w:w="14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20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(1,474,901)</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(2,125,729)</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650,828 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Impairment reversal (expense), net</w:t>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4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(723,524)</w:t>
            </w:r>
          </w:p>
        </w:tc>
        <w:tc>
          <w:tcPr>
            <w:tcW w:w="4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724,678 </w:t>
            </w:r>
          </w:p>
        </w:tc>
        <w:tc>
          <w:tcPr>
            <w:tcW w:w="1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20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Other cost of sales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(1,476,055)</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(1,402,205)</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(73,850)</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Gross loss</w:t>
            </w:r>
          </w:p>
        </w:tc>
        <w:tc>
          <w:tcPr>
            <w:tcW w:w="105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(114,810)</w:t>
            </w:r>
          </w:p>
        </w:tc>
        <w:tc>
          <w:tcPr>
            <w:tcW w:w="49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(703,124)</w:t>
            </w:r>
          </w:p>
        </w:tc>
        <w:tc>
          <w:tcPr>
            <w:tcW w:w="49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588,314</w:t>
            </w:r>
            <w:r>
              <w:rPr>
                <w:color w:val="000000"/>
              </w:rPr>
              <w:t> </w:t>
            </w:r>
          </w:p>
        </w:tc>
        <w:tc>
          <w:tcPr>
            <w:tcW w:w="14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83.7</w:t>
            </w:r>
            <w:r>
              <w:rPr>
                <w:color w:val="000000"/>
              </w:rPr>
              <w:t> </w:t>
            </w:r>
          </w:p>
        </w:tc>
        <w:tc>
          <w:tcPr>
            <w:tcW w:w="20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(430,908)</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(431,283)</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(15,332)</w:t>
            </w:r>
          </w:p>
        </w:tc>
        <w:tc>
          <w:tcPr>
            <w:tcW w:w="4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(31,262)</w:t>
            </w:r>
          </w:p>
        </w:tc>
        <w:tc>
          <w:tcPr>
            <w:tcW w:w="4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15,930 </w:t>
            </w:r>
          </w:p>
        </w:tc>
        <w:tc>
          <w:tcPr>
            <w:tcW w:w="1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20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Other operating income</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12,799 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41,087 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(28,288)</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(68.8)</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Other operating expense</w:t>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(50,538)</w:t>
            </w:r>
          </w:p>
        </w:tc>
        <w:tc>
          <w:tcPr>
            <w:tcW w:w="4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(20,333)</w:t>
            </w:r>
          </w:p>
        </w:tc>
        <w:tc>
          <w:tcPr>
            <w:tcW w:w="4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(30,205)</w:t>
            </w:r>
          </w:p>
        </w:tc>
        <w:tc>
          <w:tcPr>
            <w:tcW w:w="1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(148.6)</w:t>
            </w:r>
          </w:p>
        </w:tc>
        <w:tc>
          <w:tcPr>
            <w:tcW w:w="20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Foreign exchange (losses) gains on operating activities, net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(30,077)</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49,321 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(79,398)</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(161.0)</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Operating loss</w:t>
            </w:r>
          </w:p>
        </w:tc>
        <w:tc>
          <w:tcPr>
            <w:tcW w:w="105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(628,866)</w:t>
            </w:r>
          </w:p>
        </w:tc>
        <w:tc>
          <w:tcPr>
            <w:tcW w:w="49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(1,095,594)</w:t>
            </w:r>
          </w:p>
        </w:tc>
        <w:tc>
          <w:tcPr>
            <w:tcW w:w="49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466,728</w:t>
            </w:r>
            <w:r>
              <w:rPr>
                <w:color w:val="000000"/>
              </w:rPr>
              <w:t> </w:t>
            </w:r>
          </w:p>
        </w:tc>
        <w:tc>
          <w:tcPr>
            <w:tcW w:w="14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42.6</w:t>
            </w:r>
            <w:r>
              <w:rPr>
                <w:color w:val="000000"/>
              </w:rPr>
              <w:t> </w:t>
            </w:r>
          </w:p>
        </w:tc>
        <w:tc>
          <w:tcPr>
            <w:tcW w:w="20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Finance income</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5,256 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3,415 </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1,841 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Finance expense</w:t>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(205,162)</w:t>
            </w:r>
          </w:p>
        </w:tc>
        <w:tc>
          <w:tcPr>
            <w:tcW w:w="4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(185,319)</w:t>
            </w:r>
          </w:p>
        </w:tc>
        <w:tc>
          <w:tcPr>
            <w:tcW w:w="4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(19,843)</w:t>
            </w:r>
          </w:p>
        </w:tc>
        <w:tc>
          <w:tcPr>
            <w:tcW w:w="1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20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Foreign exchange (losses) gains on financial activities, net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(14,795)</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49,382 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(64,177)</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(130.0)</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Fair value changes - Earn-out rights and Class C shares</w:t>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6,374 </w:t>
            </w:r>
          </w:p>
        </w:tc>
        <w:tc>
          <w:tcPr>
            <w:tcW w:w="4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15,813 </w:t>
            </w:r>
          </w:p>
        </w:tc>
        <w:tc>
          <w:tcPr>
            <w:tcW w:w="4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(9,439)</w:t>
            </w:r>
          </w:p>
        </w:tc>
        <w:tc>
          <w:tcPr>
            <w:tcW w:w="1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(59.7)</w:t>
            </w:r>
          </w:p>
        </w:tc>
        <w:tc>
          <w:tcPr>
            <w:tcW w:w="20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Share of losses in associates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(24,261)</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24,261 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Loss before income taxes</w:t>
            </w:r>
          </w:p>
        </w:tc>
        <w:tc>
          <w:tcPr>
            <w:tcW w:w="105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(837,193)</w:t>
            </w:r>
          </w:p>
        </w:tc>
        <w:tc>
          <w:tcPr>
            <w:tcW w:w="49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(1,236,564)</w:t>
            </w:r>
          </w:p>
        </w:tc>
        <w:tc>
          <w:tcPr>
            <w:tcW w:w="49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399,371</w:t>
            </w:r>
            <w:r>
              <w:rPr>
                <w:color w:val="000000"/>
              </w:rPr>
              <w:t> </w:t>
            </w:r>
          </w:p>
        </w:tc>
        <w:tc>
          <w:tcPr>
            <w:tcW w:w="14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32.3</w:t>
            </w:r>
            <w:r>
              <w:rPr>
                <w:color w:val="000000"/>
              </w:rPr>
              <w:t> </w:t>
            </w:r>
          </w:p>
        </w:tc>
        <w:tc>
          <w:tcPr>
            <w:tcW w:w="20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(5,255)</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43,485 </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(48,740)</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(112.1)</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Net loss</w:t>
            </w:r>
          </w:p>
        </w:tc>
        <w:tc>
          <w:tcPr>
            <w:tcW w:w="1050"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(842,448)</w:t>
            </w:r>
          </w:p>
        </w:tc>
        <w:tc>
          <w:tcPr>
            <w:tcW w:w="49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(1,193,079)</w:t>
            </w:r>
          </w:p>
        </w:tc>
        <w:tc>
          <w:tcPr>
            <w:tcW w:w="4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350,631</w:t>
            </w:r>
            <w:r>
              <w:rPr>
                <w:color w:val="000000"/>
              </w:rPr>
              <w:t> </w:t>
            </w:r>
          </w:p>
        </w:tc>
        <w:tc>
          <w:tcPr>
            <w:tcW w:w="14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29.4</w:t>
            </w:r>
            <w:r>
              <w:rPr>
                <w:color w:val="000000"/>
              </w:rPr>
              <w:t> </w:t>
            </w:r>
          </w:p>
        </w:tc>
        <w:tc>
          <w:tcPr>
            <w:tcW w:w="20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Revenue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revenue and related changes between interim periods:</w:t>
      </w:r>
    </w:p>
    <w:tbl>
      <w:tblPr>
        <w:tblW w:w="8856" w:type="dxa"/>
        <w:jc w:val="left"/>
        <w:tblInd w:w="0" w:type="dxa"/>
        <w:tblLayout w:type="fixed"/>
        <w:tblCellMar>
          <w:top w:w="28" w:type="dxa"/>
          <w:left w:w="28" w:type="dxa"/>
          <w:bottom w:w="28" w:type="dxa"/>
          <w:right w:w="28" w:type="dxa"/>
        </w:tblCellMar>
      </w:tblPr>
      <w:tblGrid>
        <w:gridCol w:w="1503"/>
        <w:gridCol w:w="1321"/>
        <w:gridCol w:w="1331"/>
        <w:gridCol w:w="498"/>
        <w:gridCol w:w="493"/>
        <w:gridCol w:w="491"/>
        <w:gridCol w:w="498"/>
        <w:gridCol w:w="493"/>
        <w:gridCol w:w="496"/>
        <w:gridCol w:w="398"/>
        <w:gridCol w:w="398"/>
        <w:gridCol w:w="145"/>
        <w:gridCol w:w="291"/>
        <w:gridCol w:w="294"/>
        <w:gridCol w:w="206"/>
      </w:tblGrid>
      <w:tr>
        <w:trPr/>
        <w:tc>
          <w:tcPr>
            <w:tcW w:w="1503"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6"/>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c>
          <w:tcPr>
            <w:tcW w:w="1732" w:type="dxa"/>
            <w:gridSpan w:val="6"/>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Variance</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4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7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4155"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Sales of vehicles</w:t>
            </w:r>
          </w:p>
        </w:tc>
        <w:tc>
          <w:tcPr>
            <w:tcW w:w="99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1,278,805 </w:t>
            </w:r>
          </w:p>
        </w:tc>
        <w:tc>
          <w:tcPr>
            <w:tcW w:w="49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1,317,756 </w:t>
            </w:r>
          </w:p>
        </w:tc>
        <w:tc>
          <w:tcPr>
            <w:tcW w:w="49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(38,951)</w:t>
            </w:r>
          </w:p>
        </w:tc>
        <w:tc>
          <w:tcPr>
            <w:tcW w:w="14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0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Sales of carbon credits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52,414 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72,155 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(19,741)</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Sales of licenses and royalties</w:t>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19,907 </w:t>
            </w:r>
          </w:p>
        </w:tc>
        <w:tc>
          <w:tcPr>
            <w:tcW w:w="4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10,920 </w:t>
            </w:r>
          </w:p>
        </w:tc>
        <w:tc>
          <w:tcPr>
            <w:tcW w:w="4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8,987 </w:t>
            </w:r>
          </w:p>
        </w:tc>
        <w:tc>
          <w:tcPr>
            <w:tcW w:w="1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20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Vehicle leasing revenue</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4,338 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7,579 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(3,241)</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(42.8)</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Sales of software and performance engineered kits</w:t>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2,515 </w:t>
            </w:r>
          </w:p>
        </w:tc>
        <w:tc>
          <w:tcPr>
            <w:tcW w:w="4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5,628 </w:t>
            </w:r>
          </w:p>
        </w:tc>
        <w:tc>
          <w:tcPr>
            <w:tcW w:w="4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(3,113)</w:t>
            </w:r>
          </w:p>
        </w:tc>
        <w:tc>
          <w:tcPr>
            <w:tcW w:w="1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(55.3)</w:t>
            </w:r>
          </w:p>
        </w:tc>
        <w:tc>
          <w:tcPr>
            <w:tcW w:w="20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2,112 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8,567 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(6,455)</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(75.3)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Total</w:t>
            </w:r>
          </w:p>
        </w:tc>
        <w:tc>
          <w:tcPr>
            <w:tcW w:w="99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1,360,091</w:t>
            </w:r>
            <w:r>
              <w:rPr>
                <w:color w:val="000000"/>
              </w:rPr>
              <w:t> </w:t>
            </w:r>
          </w:p>
        </w:tc>
        <w:tc>
          <w:tcPr>
            <w:tcW w:w="49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1,422,605</w:t>
            </w:r>
            <w:r>
              <w:rPr>
                <w:color w:val="000000"/>
              </w:rPr>
              <w:t> </w:t>
            </w:r>
          </w:p>
        </w:tc>
        <w:tc>
          <w:tcPr>
            <w:tcW w:w="4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(62,514)</w:t>
            </w:r>
          </w:p>
        </w:tc>
        <w:tc>
          <w:tcPr>
            <w:tcW w:w="14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(4.4)</w:t>
            </w:r>
          </w:p>
        </w:tc>
        <w:tc>
          <w:tcPr>
            <w:tcW w:w="20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decrease in revenue from Sales of vehicles was primarily due to pressures on pricing, and the increase in the reversal of revenue for the additional amounts expected to be paid out under the residual value guarantees due to the U.S. Restructuring. This was partially offset by improved foreign exchange rates in some of our markets and an improved carline mix with a higher contribution from PS4 more than compensating for a lower share of PS3.</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decrease in revenue from Sales of carbon credits was primarily driven by increased competition and a changed regulatory environment in the EU that caused a shift in the demand/supply curve that negatively impacted the demand and pricing.</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increase in Sales of licenses and royalties was mainly due to an increase in royalties received from Volvo Cars under the license enabling Volvo Cars to source and sell parts and accessories for Polestar's vehicles. This increase was due to the increase in the cumulative volume of Polestar vehicles in circulation (the "car park") which results in more demand for parts and accessories.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decrease in Sales of software and performance engineered kits was primarily a result of Polestar's continued emphasis on its own vehicles, coupled with a continued decline in Volvo Cars' sales of Polestar's performance engineered kits.</w:t>
      </w:r>
    </w:p>
    <w:p>
      <w:pPr>
        <w:pStyle w:val="TextBody"/>
        <w:bidi w:val="0"/>
        <w:spacing w:before="120" w:after="283"/>
        <w:ind w:left="0" w:right="0" w:hanging="360"/>
        <w:jc w:val="both"/>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Cost of sales</w:t>
      </w:r>
    </w:p>
    <w:p>
      <w:pPr>
        <w:pStyle w:val="TextBody"/>
        <w:bidi w:val="0"/>
        <w:spacing w:lineRule="auto" w:line="240" w:before="120" w:after="283"/>
        <w:jc w:val="both"/>
        <w:rPr/>
      </w:pPr>
      <w:r>
        <w:rPr>
          <w:rFonts w:ascii="Times New Roman;serif" w:hAnsi="Times New Roman;serif"/>
          <w:b w:val="false"/>
          <w:color w:val="000000"/>
          <w:sz w:val="22"/>
        </w:rPr>
        <w:t>Th</w:t>
      </w:r>
      <w:r>
        <w:rPr>
          <w:rFonts w:ascii="Times New Roman;serif" w:hAnsi="Times New Roman;serif"/>
          <w:b w:val="false"/>
          <w:color w:val="000000"/>
          <w:sz w:val="20"/>
        </w:rPr>
        <w:t>e decrease was primarily due to the impairment expense, net of reversals of $724.7 million</w:t>
      </w:r>
      <w:r>
        <w:rPr>
          <w:color w:val="000000"/>
        </w:rPr>
        <w:t xml:space="preserve"> </w:t>
      </w:r>
      <w:r>
        <w:rPr>
          <w:rFonts w:ascii="Times New Roman;serif" w:hAnsi="Times New Roman;serif"/>
          <w:b w:val="false"/>
          <w:color w:val="000000"/>
          <w:sz w:val="20"/>
        </w:rPr>
        <w:t xml:space="preserve">recognized in H1 2025 with no equivalent in H1 2026 and a positive impact on the net realizable value on inventory outside of the U.S. This was partially offset by a higher cost carline mix with higher duties (increased tariffs for imported cars, parts and components for the EU and the U.S.), smaller product costs reduction due to higher raw materials costs (mainly in batteries), negative impacts relating to the net realizable value of the U.S. inventory due to the U.S. Restructuring, and H1 2025 one-off positive impacts, which did not repeat in H1 2026, mainly due to reversals of costs related to Polestar terminating commercial operations of its investment in Polestar Times Technology. </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Gross loss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decrease in gross loss is primarily due to impairment expense, net of reversals recognized in H1 2025 and not in H1 2026 of $724.7 million and margin improvement due to model mix, partially offset by decreased vehicle sales revenue of $39.0 million, an increase in Other cost of sales of $73.9 million and decreased sales of carbon credits revenue of $19.7 million. No associated cost of sales was recognized upon the sale of these carbon credits.</w:t>
      </w:r>
    </w:p>
    <w:p>
      <w:pPr>
        <w:pStyle w:val="TextBody"/>
        <w:bidi w:val="0"/>
        <w:spacing w:lineRule="auto" w:line="240" w:before="240" w:after="2"/>
        <w:jc w:val="both"/>
        <w:rPr>
          <w:rFonts w:ascii="Times New Roman;serif" w:hAnsi="Times New Roman;serif"/>
          <w:b/>
          <w:color w:val="000000"/>
          <w:sz w:val="20"/>
        </w:rPr>
      </w:pPr>
      <w:r>
        <w:rPr>
          <w:rFonts w:ascii="Times New Roman;serif" w:hAnsi="Times New Roman;serif"/>
          <w:b/>
          <w:color w:val="000000"/>
          <w:sz w:val="20"/>
        </w:rPr>
        <w:t>Selling, general and administrative expense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decrease was primarily due to lower other general and administrative costs resulting from cost discipline measures and restructuring with reduced headcount, mostly offset by increased advertising, selling and promotion activities expense connected especially with the impact of the France market launched in June 2025 and those related to the launch of the Polestar 5, amounting to $10.0 million and increased sales agent remuneration expense of $9.7 million mainly due to volumes and changes in carline and sales channel mix. </w:t>
      </w:r>
    </w:p>
    <w:p>
      <w:pPr>
        <w:pStyle w:val="TextBody"/>
        <w:bidi w:val="0"/>
        <w:spacing w:lineRule="auto" w:line="240" w:before="240" w:after="2"/>
        <w:jc w:val="both"/>
        <w:rPr>
          <w:rFonts w:ascii="Times New Roman;serif" w:hAnsi="Times New Roman;serif"/>
          <w:b/>
          <w:color w:val="000000"/>
          <w:sz w:val="20"/>
        </w:rPr>
      </w:pPr>
      <w:r>
        <w:rPr>
          <w:rFonts w:ascii="Times New Roman;serif" w:hAnsi="Times New Roman;serif"/>
          <w:b/>
          <w:color w:val="000000"/>
          <w:sz w:val="20"/>
        </w:rPr>
        <w:t>Research and development expense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decrease from $31 million to $15 million was primarily driven by higher spending in H1 2025 on vehicle development programs not yet eligible for capitalization and reduced headcount.</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Other operating income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decrease was mainly related to Polestar terminating the commercial operations of its investment in Polestar Times Technology, and the related rendering of transition services, in 2025 and, therefore, having no equivalent income in H1 2026 compared to $13.2 million in H1 2025 as well as a lower carbon credit related income of $13.3 million.</w:t>
      </w:r>
    </w:p>
    <w:p>
      <w:pPr>
        <w:pStyle w:val="TextBody"/>
        <w:bidi w:val="0"/>
        <w:spacing w:before="0" w:after="2"/>
        <w:jc w:val="both"/>
        <w:rPr/>
      </w:pPr>
      <w:r>
        <w:rPr/>
      </w:r>
    </w:p>
    <w:p>
      <w:pPr>
        <w:pStyle w:val="TextBody"/>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Other operating expense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increase was mainly related to U.S. Restructuring costs mainly related to the U.S Polestar organizational changes, investments and suppliers / partners. This was partially offset by a reduction of expense due to other restructuring expenses recognized in H1 2025 and not in H1 2026.</w:t>
      </w:r>
    </w:p>
    <w:p>
      <w:pPr>
        <w:pStyle w:val="TextBody"/>
        <w:bidi w:val="0"/>
        <w:spacing w:before="0" w:after="2"/>
        <w:jc w:val="left"/>
        <w:rPr/>
      </w:pPr>
      <w:r>
        <w:rPr/>
      </w:r>
    </w:p>
    <w:p>
      <w:pPr>
        <w:pStyle w:val="TextBody"/>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Foreign exchange (losses) gains on operating activities, net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decrease is primarily due to a devaluation of the Swedish krona/Chinese yuan exchange rate during H1 2026 as compared to an strengthening of the Swedish krona/Chinese yuan exchange rate during H1 2025.</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Finance income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increase was the result of increased interest income of $1.8 million.</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Finance expense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was primarily the result of higher interest expense on non-related and related parties financing of $15.4 million due to an increase in outstanding loans, partially offset by a decrease in benchmark interest rates. </w:t>
      </w: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Foreign exchange (losses) gains on financial activities, net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decrease was primarily due to negative changes in foreign exchange rates of $64.2 million mainly driven by Chinese yuan and U.S. dollar fluctuations.</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Fair value changes - Earn-out rights and Class C shares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decrease was primarily attributable to the further declines in Polestar's share price over H1 2026 which have a relatively lower negative impact on the fair value of these instruments than the declines in Polestar's share price over H1 2025 as they move further out-of-the-money.</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Share of losses in associates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$24.3 million decrease in loss was primarily attributable to Polestar terminating commercial operations of its investment in Polestar Times Technology in 2025 and therefore having no investment, and no share of loss, in H1 2026 when compared to H1 2025. </w:t>
      </w:r>
    </w:p>
    <w:p>
      <w:pPr>
        <w:pStyle w:val="TextBody"/>
        <w:bidi w:val="0"/>
        <w:spacing w:before="120" w:after="283"/>
        <w:ind w:left="0" w:right="0" w:hanging="360"/>
        <w:jc w:val="both"/>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Income tax (expense) benefit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movement from an income tax benefit in H1 2025 to an income tax expense in H1 2026 was primarily driven by reduced deferred tax asset recognition in the UK, no further deferred tax recognition in the U.S., and the absence of prior-year tax expense reversals related to UK Group Relief compared with H1 2025.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ind w:left="0" w:right="0" w:hanging="360"/>
        <w:jc w:val="both"/>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Polestar's principal uses for liquidity and capital are for funding of operations, repayment of debt, market expansion, and investments in the tangible and intangible assets required to develop and manufacture Polestar's vehicles and related technologies.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finances its operations primarily through debt and equity. As it relates to debt, Polestar procures some long-term committed finance, but also shorter-term bilateral loans and inventory financing. Polestar may, on occasion, also engage with related parties to extend payment terms.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Polestar had net current liabilities of $4,701.9 million. In the six months ended June 30, 2026, Polestar generated negative operating and investing cash flows of $849.9 million and $210.9 million, respectively, primarily as a result of scaling up commercialization efforts globally along with more challenging market conditions and with continuing capital expenditure optimization for its vehicles and related technologies. In the six months ended June 30, 2026, Polestar generated positive cash flows of $768.7 million from financing activities, including $400.0 million equity investment by Feathertop Funding Limited, a special purpose vehicle consolidated to Sumitomo Mitsui Banking Corporation, and Standard Chartered Bank (Hong Kong) Limited, with each investor contributing $200.0 million in February 2026, and an additional $300.0 million equity investment by various purchasers including Crédit Agricole CIB, Vida Finance S.A., Innovator Limited and Proximastar Holdings Company Limited in March 2026.</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Managing Polestar's liquidity profile and funding needs remains one of management's key priorities. Management's plans to ensure it has sufficient liquidity for the Company's present and future requirements are described further in this section.</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Going concern</w:t>
      </w:r>
    </w:p>
    <w:p>
      <w:pPr>
        <w:pStyle w:val="TextBody"/>
        <w:bidi w:val="0"/>
        <w:spacing w:lineRule="auto" w:line="240" w:before="120" w:after="283"/>
        <w:jc w:val="both"/>
        <w:rPr/>
      </w:pPr>
      <w:r>
        <w:rPr>
          <w:rFonts w:ascii="Times New Roman;serif" w:hAnsi="Times New Roman;serif"/>
          <w:b w:val="false"/>
          <w:color w:val="000000"/>
          <w:sz w:val="20"/>
        </w:rPr>
        <w:t xml:space="preserve">Refer to </w:t>
      </w:r>
      <w:r>
        <w:rPr>
          <w:rFonts w:ascii="Times New Roman;serif" w:hAnsi="Times New Roman;serif"/>
          <w:b w:val="false"/>
          <w:i/>
          <w:color w:val="000000"/>
          <w:sz w:val="20"/>
        </w:rPr>
        <w:t>Note 1 - Overview and basis of preparation</w:t>
      </w:r>
      <w:r>
        <w:rPr>
          <w:color w:val="000000"/>
        </w:rPr>
        <w:t xml:space="preserve"> </w:t>
      </w:r>
      <w:r>
        <w:rPr>
          <w:rFonts w:ascii="Times New Roman;serif" w:hAnsi="Times New Roman;serif"/>
          <w:b w:val="false"/>
          <w:color w:val="000000"/>
          <w:sz w:val="20"/>
        </w:rPr>
        <w:t>in the accompanying Unaudited Condensed Consolidated Interim Financial Statements for further details on management's going concern assessment, including its conclusion that a material uncertainty related to the execution of management's liquidity and funding plan casts significant doubt upon Polestar's ability to continue as a going concern.</w:t>
      </w: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Evaluation of sources and amounts of cash flows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Polestar's cash flows for the periods presented:</w:t>
      </w:r>
    </w:p>
    <w:tbl>
      <w:tblPr>
        <w:tblW w:w="7418" w:type="dxa"/>
        <w:jc w:val="left"/>
        <w:tblInd w:w="0" w:type="dxa"/>
        <w:tblLayout w:type="fixed"/>
        <w:tblCellMar>
          <w:top w:w="28" w:type="dxa"/>
          <w:left w:w="28" w:type="dxa"/>
          <w:bottom w:w="28" w:type="dxa"/>
          <w:right w:w="28" w:type="dxa"/>
        </w:tblCellMar>
      </w:tblPr>
      <w:tblGrid>
        <w:gridCol w:w="1151"/>
        <w:gridCol w:w="1013"/>
        <w:gridCol w:w="1016"/>
        <w:gridCol w:w="491"/>
        <w:gridCol w:w="491"/>
        <w:gridCol w:w="491"/>
        <w:gridCol w:w="491"/>
        <w:gridCol w:w="491"/>
        <w:gridCol w:w="496"/>
        <w:gridCol w:w="449"/>
        <w:gridCol w:w="451"/>
        <w:gridCol w:w="387"/>
      </w:tblGrid>
      <w:tr>
        <w:trPr/>
        <w:tc>
          <w:tcPr>
            <w:tcW w:w="1151"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6"/>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c>
          <w:tcPr>
            <w:tcW w:w="128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Variance</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4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2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180"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Cash used for operating activities</w:t>
            </w:r>
          </w:p>
        </w:tc>
        <w:tc>
          <w:tcPr>
            <w:tcW w:w="98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(849,906)</w:t>
            </w:r>
          </w:p>
        </w:tc>
        <w:tc>
          <w:tcPr>
            <w:tcW w:w="49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(497,652)</w:t>
            </w:r>
          </w:p>
        </w:tc>
        <w:tc>
          <w:tcPr>
            <w:tcW w:w="49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(352,254)</w:t>
            </w:r>
          </w:p>
        </w:tc>
        <w:tc>
          <w:tcPr>
            <w:tcW w:w="38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Cash used for investing activities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(210,853)</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(321,675)</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110,822 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Cash provided by financing activities</w:t>
            </w:r>
          </w:p>
        </w:tc>
        <w:tc>
          <w:tcPr>
            <w:tcW w:w="98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768,725 </w:t>
            </w:r>
          </w:p>
        </w:tc>
        <w:tc>
          <w:tcPr>
            <w:tcW w:w="4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687,455 </w:t>
            </w:r>
          </w:p>
        </w:tc>
        <w:tc>
          <w:tcPr>
            <w:tcW w:w="4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81,270 </w:t>
            </w:r>
          </w:p>
        </w:tc>
        <w:tc>
          <w:tcPr>
            <w:tcW w:w="3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Cash used for operating activities</w:t>
      </w:r>
    </w:p>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increase in Cash used for operating activities in H1 2026 when compared to H1 2025 was primarily a result of:</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A net negative change in operating assets and liabilities of $261.5 million in H1 2026 compared to a net negative change of $148.7 million in H1 2025, primarily due to:</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A negative change in Trade payables, accrued expenses, and other liabilities of $340.1 million in H1 2026, mainly due to payments made to Volvo Cars and Geely, compared to a negative change of $335.3 million in H1 2025.</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A negative change in restricted cash in H1 2026 of $17.7 million compared to a negative change of $2.6 million in H1 2025, partially offset by;</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A net positive change in Trade receivables, prepaid expenses, and other assets of $64.1 million in H1 2026 compared to a net negative change of $149.3 million in H1 2025; and</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A positive change in Inventories of $37.6 million in H1 2026 compared to $345.2 million in H1 2025, primarily due to the normalization of inventory levels after the significant reduction achieved in 2025.</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Partially offset by:</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The decrease in net loss of $350.6 million.</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 xml:space="preserve">An increase in the net negative value of reconciling items of $583.8 million, primarily due to: </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the non-cash impairment expense of $723.5 million</w:t>
      </w:r>
      <w:r>
        <w:rPr>
          <w:color w:val="000000"/>
        </w:rPr>
        <w:t xml:space="preserve"> </w:t>
      </w:r>
      <w:r>
        <w:rPr>
          <w:rFonts w:ascii="Times New Roman;serif" w:hAnsi="Times New Roman;serif"/>
          <w:b w:val="false"/>
          <w:color w:val="000000"/>
          <w:sz w:val="20"/>
        </w:rPr>
        <w:t>in H1 2025, offset by:</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a net increase of $67.4 million related to financial income and expense; and</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a net increase of $73.1 million</w:t>
      </w:r>
      <w:r>
        <w:rPr>
          <w:color w:val="000000"/>
        </w:rPr>
        <w:t xml:space="preserve"> </w:t>
      </w:r>
      <w:r>
        <w:rPr>
          <w:rFonts w:ascii="Times New Roman;serif" w:hAnsi="Times New Roman;serif"/>
          <w:b w:val="false"/>
          <w:color w:val="000000"/>
          <w:sz w:val="20"/>
        </w:rPr>
        <w:t>in the Exchange rate income (loss), net in H1 2026 when compared to H1 2025.</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Cash used for investing activities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decrease in Cash used for investing activities in H1 2026 when compared to H1 2025 was primarily a result of:</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A decrease of $56.4 million in cash investments in intangible assets.</w:t>
      </w:r>
    </w:p>
    <w:p>
      <w:pPr>
        <w:pStyle w:val="TextBody"/>
        <w:bidi w:val="0"/>
        <w:spacing w:before="120" w:after="283"/>
        <w:ind w:left="0" w:right="0" w:hanging="360"/>
        <w:jc w:val="both"/>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A decrease of $21.7 million in cash investments in property, plant and equipment.</w:t>
      </w:r>
    </w:p>
    <w:p>
      <w:pPr>
        <w:pStyle w:val="TextBody"/>
        <w:bidi w:val="0"/>
        <w:spacing w:lineRule="auto" w:line="240" w:before="60" w:after="2"/>
        <w:ind w:left="0" w:right="0" w:hanging="360"/>
        <w:jc w:val="both"/>
        <w:rPr/>
      </w:pPr>
      <w:r>
        <w:rPr>
          <w:color w:val="000000"/>
        </w:rPr>
        <w:t>•</w:t>
      </w:r>
      <w:r>
        <w:rPr>
          <w:rFonts w:ascii="Times New Roman;serif" w:hAnsi="Times New Roman;serif"/>
          <w:b w:val="false"/>
          <w:color w:val="000000"/>
          <w:sz w:val="20"/>
        </w:rPr>
        <w:t>A decrease in investment in associates of $38.8 million.</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Partially offset by lower proceeds from sale of PPE of $6.3 million.</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Cash provided by financing activities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increase in Cash provided by financing activities in H1 2026 when compared to H1 2025 was primarily the result of:</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An increase of $500.0 million in proceeds from equity issuances, from $200.0 million in H1 2025 to $700.0 million in H1 2026.</w:t>
      </w:r>
    </w:p>
    <w:p>
      <w:pPr>
        <w:pStyle w:val="TextBody"/>
        <w:bidi w:val="0"/>
        <w:spacing w:lineRule="auto" w:line="240"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Partially offset by:</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A decrease of $225.9 million in proceeds from short-term borrowings.</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An increase</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color w:val="000000"/>
          <w:sz w:val="20"/>
        </w:rPr>
        <w:t>$167.0 million in repayments of borrowings in H1 2026 when compared to H1 2025; and</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An increase of $33.3 million in transaction costs.</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Contractual obligations and commitments</w:t>
      </w:r>
    </w:p>
    <w:p>
      <w:pPr>
        <w:pStyle w:val="TextBody"/>
        <w:bidi w:val="0"/>
        <w:spacing w:lineRule="auto" w:line="240" w:before="120" w:after="283"/>
        <w:jc w:val="both"/>
        <w:rPr/>
      </w:pPr>
      <w:r>
        <w:rPr>
          <w:rFonts w:ascii="Times New Roman;serif" w:hAnsi="Times New Roman;serif"/>
          <w:b w:val="false"/>
          <w:color w:val="000000"/>
          <w:sz w:val="20"/>
        </w:rPr>
        <w:t xml:space="preserve">In addition to the liabilities recognized in its Unaudited Condensed Consolidated Statement of Financial Position, Polestar has contractual commitments of $0.8 million for capital expenditure and $392.8 million in other commitments, primarily related to vehicle manufacturing. Refer to </w:t>
      </w:r>
      <w:r>
        <w:rPr>
          <w:rFonts w:ascii="Times New Roman;serif" w:hAnsi="Times New Roman;serif"/>
          <w:b w:val="false"/>
          <w:i/>
          <w:color w:val="000000"/>
          <w:sz w:val="20"/>
        </w:rPr>
        <w:t>Note 15 - Commitments and contingencies</w:t>
      </w:r>
      <w:r>
        <w:rPr>
          <w:color w:val="000000"/>
        </w:rPr>
        <w:t xml:space="preserve"> </w:t>
      </w:r>
      <w:r>
        <w:rPr>
          <w:rFonts w:ascii="Times New Roman;serif" w:hAnsi="Times New Roman;serif"/>
          <w:b w:val="false"/>
          <w:color w:val="000000"/>
          <w:sz w:val="20"/>
        </w:rPr>
        <w:t>in the Company's Unaudited Condensed Consolidated Interim Financial Statements included elsewhere in this report.</w:t>
      </w:r>
    </w:p>
    <w:p>
      <w:pPr>
        <w:pStyle w:val="TextBody"/>
        <w:bidi w:val="0"/>
        <w:spacing w:lineRule="auto" w:line="319" w:before="120" w:after="283"/>
        <w:jc w:val="both"/>
        <w:rPr>
          <w:rFonts w:ascii="Times New Roman;serif" w:hAnsi="Times New Roman;serif"/>
          <w:b w:val="false"/>
          <w:color w:val="000000"/>
          <w:sz w:val="20"/>
        </w:rPr>
      </w:pPr>
      <w:r>
        <w:rPr>
          <w:rFonts w:ascii="Times New Roman;serif" w:hAnsi="Times New Roman;serif"/>
          <w:b w:val="false"/>
          <w:color w:val="000000"/>
          <w:sz w:val="20"/>
        </w:rPr>
        <w:t>Management expects to meet these requirements through existing cash balances, operating cash flows, and available credit facilities.</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Cash and cash equivalents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Cash and cash equivalents are held by different entities in the Group. The following table summarizes Polestar's cash and cash equivalents as of June 30, 2026 and the currencies in which it is held, converted to U.S. dollars and presented in thousands:</w:t>
      </w:r>
    </w:p>
    <w:tbl>
      <w:tblPr>
        <w:tblW w:w="3689" w:type="dxa"/>
        <w:jc w:val="left"/>
        <w:tblInd w:w="0" w:type="dxa"/>
        <w:tblLayout w:type="fixed"/>
        <w:tblCellMar>
          <w:top w:w="28" w:type="dxa"/>
          <w:left w:w="28" w:type="dxa"/>
          <w:bottom w:w="28" w:type="dxa"/>
          <w:right w:w="28" w:type="dxa"/>
        </w:tblCellMar>
      </w:tblPr>
      <w:tblGrid>
        <w:gridCol w:w="483"/>
        <w:gridCol w:w="424"/>
        <w:gridCol w:w="427"/>
        <w:gridCol w:w="689"/>
        <w:gridCol w:w="689"/>
        <w:gridCol w:w="977"/>
      </w:tblGrid>
      <w:tr>
        <w:trPr/>
        <w:tc>
          <w:tcPr>
            <w:tcW w:w="48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Currency held</w:t>
            </w:r>
          </w:p>
        </w:tc>
        <w:tc>
          <w:tcPr>
            <w:tcW w:w="2355"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Cash and cash equivalents</w:t>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r>
              <w:rPr>
                <w:rFonts w:ascii="Times New Roman;serif" w:hAnsi="Times New Roman;serif"/>
                <w:b w:val="false"/>
                <w:color w:val="000000"/>
                <w:sz w:val="20"/>
              </w:rPr>
              <w:t xml:space="preserve">SEK </w:t>
            </w:r>
          </w:p>
        </w:tc>
        <w:tc>
          <w:tcPr>
            <w:tcW w:w="13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362,432 </w:t>
            </w:r>
          </w:p>
        </w:tc>
        <w:tc>
          <w:tcPr>
            <w:tcW w:w="9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r>
              <w:rPr>
                <w:rFonts w:ascii="Times New Roman;serif" w:hAnsi="Times New Roman;serif"/>
                <w:b w:val="false"/>
                <w:color w:val="000000"/>
                <w:sz w:val="20"/>
              </w:rPr>
              <w:t xml:space="preserve">USD </w:t>
            </w:r>
          </w:p>
        </w:tc>
        <w:tc>
          <w:tcPr>
            <w:tcW w:w="1378"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358,907 </w:t>
            </w:r>
          </w:p>
        </w:tc>
        <w:tc>
          <w:tcPr>
            <w:tcW w:w="9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r>
              <w:rPr>
                <w:rFonts w:ascii="Times New Roman;serif" w:hAnsi="Times New Roman;serif"/>
                <w:b w:val="false"/>
                <w:color w:val="000000"/>
                <w:sz w:val="20"/>
              </w:rPr>
              <w:t xml:space="preserve">EUR </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57,398 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r>
              <w:rPr>
                <w:rFonts w:ascii="Times New Roman;serif" w:hAnsi="Times New Roman;serif"/>
                <w:b w:val="false"/>
                <w:color w:val="000000"/>
                <w:sz w:val="20"/>
              </w:rPr>
              <w:t xml:space="preserve">GBP </w:t>
            </w:r>
          </w:p>
        </w:tc>
        <w:tc>
          <w:tcPr>
            <w:tcW w:w="1378"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28,642 </w:t>
            </w:r>
          </w:p>
        </w:tc>
        <w:tc>
          <w:tcPr>
            <w:tcW w:w="9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r>
              <w:rPr>
                <w:rFonts w:ascii="Times New Roman;serif" w:hAnsi="Times New Roman;serif"/>
                <w:b w:val="false"/>
                <w:color w:val="000000"/>
                <w:sz w:val="20"/>
              </w:rPr>
              <w:t xml:space="preserve">KRW </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24,458 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r>
              <w:rPr>
                <w:rFonts w:ascii="Times New Roman;serif" w:hAnsi="Times New Roman;serif"/>
                <w:b w:val="false"/>
                <w:color w:val="000000"/>
                <w:sz w:val="20"/>
              </w:rPr>
              <w:t xml:space="preserve">NOK </w:t>
            </w:r>
          </w:p>
        </w:tc>
        <w:tc>
          <w:tcPr>
            <w:tcW w:w="1378"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15,354 </w:t>
            </w:r>
          </w:p>
        </w:tc>
        <w:tc>
          <w:tcPr>
            <w:tcW w:w="9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r>
              <w:rPr>
                <w:rFonts w:ascii="Times New Roman;serif" w:hAnsi="Times New Roman;serif"/>
                <w:b w:val="false"/>
                <w:color w:val="000000"/>
                <w:sz w:val="20"/>
              </w:rPr>
              <w:t xml:space="preserve">Other </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40,386 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Total</w:t>
            </w:r>
          </w:p>
        </w:tc>
        <w:tc>
          <w:tcPr>
            <w:tcW w:w="1378"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887,577</w:t>
            </w:r>
            <w:r>
              <w:rPr>
                <w:color w:val="000000"/>
              </w:rPr>
              <w:t> </w:t>
            </w:r>
          </w:p>
        </w:tc>
        <w:tc>
          <w:tcPr>
            <w:tcW w:w="97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Legal and regulatory requirements in certain of the countries in which the Group operates may restrict or limit the ability to transfer funds, whether in the form of cash dividends, loans or advances, from the entities in those countries to other entities of the Group.</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 Group had restricted cash of $73.2 million which is presented under current and non-current other assets in the Unaudited Condensed Consolidated Statement of Financial Position and is primarily related to its financial obligations under its syndicated multi-currency green term loan facility ("Club Loan") and under its residual value guarantees in its contracts with financial institutions in North America which provide leases to customers purchasing Polestar's vehicles, and cash collateral pledged in connection with bank guarantees and other regulatory requirements.</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Funding types, maturity, currency and interest rate structure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finances itself through debt arrangements with credit institutions and related parties as further detailed below.</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Credit institutions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Financing arrangements with credit institutions can be categorized as follows:</w:t>
      </w:r>
    </w:p>
    <w:tbl>
      <w:tblPr>
        <w:tblW w:w="10205" w:type="dxa"/>
        <w:jc w:val="left"/>
        <w:tblInd w:w="0" w:type="dxa"/>
        <w:tblLayout w:type="fixed"/>
        <w:tblCellMar>
          <w:top w:w="28" w:type="dxa"/>
          <w:left w:w="28" w:type="dxa"/>
          <w:bottom w:w="28" w:type="dxa"/>
          <w:right w:w="28" w:type="dxa"/>
        </w:tblCellMar>
      </w:tblPr>
      <w:tblGrid>
        <w:gridCol w:w="728"/>
        <w:gridCol w:w="470"/>
        <w:gridCol w:w="477"/>
        <w:gridCol w:w="2497"/>
        <w:gridCol w:w="2497"/>
        <w:gridCol w:w="3536"/>
      </w:tblGrid>
      <w:tr>
        <w:trPr/>
        <w:tc>
          <w:tcPr>
            <w:tcW w:w="72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sz w:val="4"/>
                <w:szCs w:val="4"/>
              </w:rPr>
            </w:pPr>
            <w:r>
              <w:rPr>
                <w:sz w:val="4"/>
                <w:szCs w:val="4"/>
              </w:rPr>
            </w:r>
          </w:p>
        </w:tc>
        <w:tc>
          <w:tcPr>
            <w:tcW w:w="3536" w:type="dxa"/>
            <w:tcBorders/>
            <w:vAlign w:val="center"/>
          </w:tcPr>
          <w:p>
            <w:pPr>
              <w:pStyle w:val="TableContents"/>
              <w:bidi w:val="0"/>
              <w:spacing w:before="0" w:after="283"/>
              <w:jc w:val="left"/>
              <w:rPr>
                <w:sz w:val="4"/>
                <w:szCs w:val="4"/>
              </w:rPr>
            </w:pPr>
            <w:r>
              <w:rPr>
                <w:sz w:val="4"/>
                <w:szCs w:val="4"/>
              </w:rPr>
            </w:r>
          </w:p>
        </w:tc>
      </w:tr>
      <w:tr>
        <w:trPr/>
        <w:tc>
          <w:tcPr>
            <w:tcW w:w="1675"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Type</w:t>
            </w:r>
          </w:p>
        </w:tc>
        <w:tc>
          <w:tcPr>
            <w:tcW w:w="8530"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Characteristics</w:t>
            </w:r>
          </w:p>
        </w:tc>
      </w:tr>
      <w:tr>
        <w:trPr/>
        <w:tc>
          <w:tcPr>
            <w:tcW w:w="16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6" w:before="0" w:after="2"/>
              <w:jc w:val="left"/>
              <w:rPr>
                <w:rFonts w:ascii="Times New Roman;serif" w:hAnsi="Times New Roman;serif"/>
                <w:b w:val="false"/>
                <w:color w:val="000000"/>
                <w:sz w:val="20"/>
              </w:rPr>
            </w:pPr>
            <w:r>
              <w:rPr>
                <w:rFonts w:ascii="Times New Roman;serif" w:hAnsi="Times New Roman;serif"/>
                <w:b w:val="false"/>
                <w:color w:val="000000"/>
                <w:sz w:val="20"/>
              </w:rPr>
              <w:t>Chinese loan facilities</w:t>
            </w:r>
          </w:p>
        </w:tc>
        <w:tc>
          <w:tcPr>
            <w:tcW w:w="85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6" w:before="0" w:after="2"/>
              <w:jc w:val="both"/>
              <w:rPr>
                <w:rFonts w:ascii="Times New Roman;serif" w:hAnsi="Times New Roman;serif"/>
                <w:b w:val="false"/>
                <w:color w:val="000000"/>
                <w:sz w:val="20"/>
              </w:rPr>
            </w:pPr>
            <w:r>
              <w:rPr>
                <w:rFonts w:ascii="Times New Roman;serif" w:hAnsi="Times New Roman;serif"/>
                <w:b w:val="false"/>
                <w:color w:val="000000"/>
                <w:sz w:val="20"/>
              </w:rPr>
              <w:t>Facilities provided by Chinese banks which are denominated in CNY or USD. Drawdowns have a maturity of 12 months or less. Bullet payment at maturity. Fixed or floating interest rates based on SOFR or LPR.</w:t>
            </w:r>
          </w:p>
        </w:tc>
      </w:tr>
      <w:tr>
        <w:trPr/>
        <w:tc>
          <w:tcPr>
            <w:tcW w:w="1675" w:type="dxa"/>
            <w:gridSpan w:val="3"/>
            <w:tcBorders/>
            <w:shd w:fill="DBDBDB" w:val="clear"/>
            <w:tcMar>
              <w:top w:w="0" w:type="dxa"/>
              <w:left w:w="0" w:type="dxa"/>
              <w:bottom w:w="0" w:type="dxa"/>
              <w:right w:w="0" w:type="dxa"/>
            </w:tcMar>
            <w:vAlign w:val="center"/>
          </w:tcPr>
          <w:p>
            <w:pPr>
              <w:pStyle w:val="TableContents"/>
              <w:bidi w:val="0"/>
              <w:spacing w:lineRule="auto" w:line="316" w:before="0" w:after="2"/>
              <w:jc w:val="left"/>
              <w:rPr>
                <w:rFonts w:ascii="Times New Roman;serif" w:hAnsi="Times New Roman;serif"/>
                <w:b w:val="false"/>
                <w:color w:val="000000"/>
                <w:sz w:val="20"/>
              </w:rPr>
            </w:pPr>
            <w:r>
              <w:rPr>
                <w:rFonts w:ascii="Times New Roman;serif" w:hAnsi="Times New Roman;serif"/>
                <w:b w:val="false"/>
                <w:color w:val="000000"/>
                <w:sz w:val="20"/>
              </w:rPr>
              <w:t>International loan facilities</w:t>
            </w:r>
          </w:p>
        </w:tc>
        <w:tc>
          <w:tcPr>
            <w:tcW w:w="8530" w:type="dxa"/>
            <w:gridSpan w:val="3"/>
            <w:tcBorders/>
            <w:shd w:fill="DBDBDB" w:val="clear"/>
            <w:tcMar>
              <w:top w:w="0" w:type="dxa"/>
              <w:left w:w="0" w:type="dxa"/>
              <w:bottom w:w="0" w:type="dxa"/>
              <w:right w:w="0" w:type="dxa"/>
            </w:tcMar>
            <w:vAlign w:val="center"/>
          </w:tcPr>
          <w:p>
            <w:pPr>
              <w:pStyle w:val="TableContents"/>
              <w:bidi w:val="0"/>
              <w:spacing w:lineRule="auto" w:line="316" w:before="0" w:after="2"/>
              <w:jc w:val="both"/>
              <w:rPr>
                <w:rFonts w:ascii="Times New Roman;serif" w:hAnsi="Times New Roman;serif"/>
                <w:b w:val="false"/>
                <w:color w:val="000000"/>
                <w:sz w:val="20"/>
              </w:rPr>
            </w:pPr>
            <w:r>
              <w:rPr>
                <w:rFonts w:ascii="Times New Roman;serif" w:hAnsi="Times New Roman;serif"/>
                <w:b w:val="false"/>
                <w:color w:val="000000"/>
                <w:sz w:val="20"/>
              </w:rPr>
              <w:t>Facilities provided by international banks which are denominated in EUR or USD. Drawdowns have a maturity of 12 months or less. Bullet payment at maturity. Floating interest rates are based on SOFR or EURIBOR.</w:t>
            </w:r>
          </w:p>
        </w:tc>
      </w:tr>
    </w:tbl>
    <w:p>
      <w:pPr>
        <w:pStyle w:val="TextBody"/>
        <w:bidi w:val="0"/>
        <w:spacing w:before="120" w:after="283"/>
        <w:ind w:left="0" w:right="0" w:hanging="360"/>
        <w:jc w:val="both"/>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88"/>
        <w:gridCol w:w="351"/>
        <w:gridCol w:w="356"/>
        <w:gridCol w:w="2608"/>
        <w:gridCol w:w="2608"/>
        <w:gridCol w:w="3694"/>
      </w:tblGrid>
      <w:tr>
        <w:trPr/>
        <w:tc>
          <w:tcPr>
            <w:tcW w:w="58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c>
          <w:tcPr>
            <w:tcW w:w="3694" w:type="dxa"/>
            <w:tcBorders/>
            <w:vAlign w:val="center"/>
          </w:tcPr>
          <w:p>
            <w:pPr>
              <w:pStyle w:val="TableContents"/>
              <w:bidi w:val="0"/>
              <w:spacing w:before="0" w:after="283"/>
              <w:jc w:val="left"/>
              <w:rPr>
                <w:sz w:val="4"/>
                <w:szCs w:val="4"/>
              </w:rPr>
            </w:pPr>
            <w:r>
              <w:rPr>
                <w:sz w:val="4"/>
                <w:szCs w:val="4"/>
              </w:rPr>
            </w:r>
          </w:p>
        </w:tc>
      </w:tr>
      <w:tr>
        <w:trPr/>
        <w:tc>
          <w:tcPr>
            <w:tcW w:w="1295"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Type</w:t>
            </w:r>
          </w:p>
        </w:tc>
        <w:tc>
          <w:tcPr>
            <w:tcW w:w="8910"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Characteristics</w:t>
            </w:r>
          </w:p>
        </w:tc>
      </w:tr>
      <w:tr>
        <w:trPr/>
        <w:tc>
          <w:tcPr>
            <w:tcW w:w="1295" w:type="dxa"/>
            <w:gridSpan w:val="3"/>
            <w:tcBorders/>
            <w:shd w:fill="FFFFFF" w:val="clear"/>
            <w:tcMar>
              <w:top w:w="0" w:type="dxa"/>
              <w:left w:w="0" w:type="dxa"/>
              <w:bottom w:w="0" w:type="dxa"/>
              <w:right w:w="0" w:type="dxa"/>
            </w:tcMar>
            <w:vAlign w:val="center"/>
          </w:tcPr>
          <w:p>
            <w:pPr>
              <w:pStyle w:val="TableContents"/>
              <w:bidi w:val="0"/>
              <w:spacing w:lineRule="auto" w:line="316" w:before="0" w:after="2"/>
              <w:jc w:val="left"/>
              <w:rPr>
                <w:rFonts w:ascii="Times New Roman;serif" w:hAnsi="Times New Roman;serif"/>
                <w:b w:val="false"/>
                <w:color w:val="000000"/>
                <w:sz w:val="20"/>
              </w:rPr>
            </w:pPr>
            <w:r>
              <w:rPr>
                <w:rFonts w:ascii="Times New Roman;serif" w:hAnsi="Times New Roman;serif"/>
                <w:b w:val="false"/>
                <w:color w:val="000000"/>
                <w:sz w:val="20"/>
              </w:rPr>
              <w:t>Trade finance facility ("TFF")</w:t>
            </w:r>
          </w:p>
        </w:tc>
        <w:tc>
          <w:tcPr>
            <w:tcW w:w="8910" w:type="dxa"/>
            <w:gridSpan w:val="3"/>
            <w:tcBorders/>
            <w:shd w:fill="FFFFFF" w:val="clear"/>
            <w:tcMar>
              <w:top w:w="0" w:type="dxa"/>
              <w:left w:w="0" w:type="dxa"/>
              <w:bottom w:w="0" w:type="dxa"/>
              <w:right w:w="0" w:type="dxa"/>
            </w:tcMar>
            <w:vAlign w:val="center"/>
          </w:tcPr>
          <w:p>
            <w:pPr>
              <w:pStyle w:val="TableContents"/>
              <w:bidi w:val="0"/>
              <w:spacing w:lineRule="auto" w:line="316" w:before="0" w:after="2"/>
              <w:jc w:val="both"/>
              <w:rPr>
                <w:rFonts w:ascii="Times New Roman;serif" w:hAnsi="Times New Roman;serif"/>
                <w:b w:val="false"/>
                <w:color w:val="000000"/>
                <w:sz w:val="20"/>
              </w:rPr>
            </w:pPr>
            <w:r>
              <w:rPr>
                <w:rFonts w:ascii="Times New Roman;serif" w:hAnsi="Times New Roman;serif"/>
                <w:b w:val="false"/>
                <w:color w:val="000000"/>
                <w:sz w:val="20"/>
              </w:rPr>
              <w:t>EUR denominated secured, syndicated green trade facility entered into on February 28, 2022 and subsequently amended on February 27, 2023 and renewed on February 27, 2025 and on February 25, 2026. On June 5, 2026, Fubon Bank Hong Kong was onboarded with an additional EUR 50 million, increasing the total facility from EUR 400 million to EUR 450 million. All outstanding principal is 100% secured by the new vehicle inventory financed via this facility in accordance with first-ranking English law charge. Drawdowns have a maturity of 6 months. Floating rates indexed to EURIBOR.</w:t>
            </w:r>
          </w:p>
        </w:tc>
      </w:tr>
      <w:tr>
        <w:trPr/>
        <w:tc>
          <w:tcPr>
            <w:tcW w:w="1295" w:type="dxa"/>
            <w:gridSpan w:val="3"/>
            <w:tcBorders/>
            <w:shd w:fill="DBDBDB" w:val="clear"/>
            <w:tcMar>
              <w:top w:w="0" w:type="dxa"/>
              <w:left w:w="0" w:type="dxa"/>
              <w:bottom w:w="0" w:type="dxa"/>
              <w:right w:w="0" w:type="dxa"/>
            </w:tcMar>
            <w:vAlign w:val="center"/>
          </w:tcPr>
          <w:p>
            <w:pPr>
              <w:pStyle w:val="TableContents"/>
              <w:bidi w:val="0"/>
              <w:spacing w:lineRule="auto" w:line="316" w:before="0" w:after="2"/>
              <w:jc w:val="left"/>
              <w:rPr>
                <w:rFonts w:ascii="Times New Roman;serif" w:hAnsi="Times New Roman;serif"/>
                <w:b w:val="false"/>
                <w:color w:val="000000"/>
                <w:sz w:val="20"/>
              </w:rPr>
            </w:pPr>
            <w:r>
              <w:rPr>
                <w:rFonts w:ascii="Times New Roman;serif" w:hAnsi="Times New Roman;serif"/>
                <w:b w:val="false"/>
                <w:color w:val="000000"/>
                <w:sz w:val="20"/>
              </w:rPr>
              <w:t>Market RCFs and Buy-Back facilities</w:t>
            </w:r>
          </w:p>
        </w:tc>
        <w:tc>
          <w:tcPr>
            <w:tcW w:w="8910" w:type="dxa"/>
            <w:gridSpan w:val="3"/>
            <w:tcBorders/>
            <w:shd w:fill="DBDBDB" w:val="clear"/>
            <w:tcMar>
              <w:top w:w="0" w:type="dxa"/>
              <w:left w:w="0" w:type="dxa"/>
              <w:bottom w:w="0" w:type="dxa"/>
              <w:right w:w="0" w:type="dxa"/>
            </w:tcMar>
            <w:vAlign w:val="center"/>
          </w:tcPr>
          <w:p>
            <w:pPr>
              <w:pStyle w:val="TableContents"/>
              <w:bidi w:val="0"/>
              <w:spacing w:lineRule="auto" w:line="316" w:before="0" w:after="2"/>
              <w:jc w:val="both"/>
              <w:rPr>
                <w:rFonts w:ascii="Times New Roman;serif" w:hAnsi="Times New Roman;serif"/>
                <w:b w:val="false"/>
                <w:color w:val="000000"/>
                <w:sz w:val="20"/>
              </w:rPr>
            </w:pPr>
            <w:r>
              <w:rPr>
                <w:rFonts w:ascii="Times New Roman;serif" w:hAnsi="Times New Roman;serif"/>
                <w:b w:val="false"/>
                <w:color w:val="000000"/>
                <w:sz w:val="20"/>
              </w:rPr>
              <w:t>Multiple credit facilities with various financial service providers to finance vehicles at the sales locations. The facilities are secured by the underlying assets, and financial terms and legal form vary from market to market.</w:t>
            </w:r>
          </w:p>
        </w:tc>
      </w:tr>
      <w:tr>
        <w:trPr/>
        <w:tc>
          <w:tcPr>
            <w:tcW w:w="1295" w:type="dxa"/>
            <w:gridSpan w:val="3"/>
            <w:tcBorders/>
            <w:shd w:fill="FFFFFF" w:val="clear"/>
            <w:tcMar>
              <w:top w:w="0" w:type="dxa"/>
              <w:left w:w="0" w:type="dxa"/>
              <w:bottom w:w="0" w:type="dxa"/>
              <w:right w:w="0" w:type="dxa"/>
            </w:tcMar>
            <w:vAlign w:val="center"/>
          </w:tcPr>
          <w:p>
            <w:pPr>
              <w:pStyle w:val="TableContents"/>
              <w:bidi w:val="0"/>
              <w:spacing w:lineRule="auto" w:line="316" w:before="0" w:after="2"/>
              <w:jc w:val="left"/>
              <w:rPr>
                <w:rFonts w:ascii="Times New Roman;serif" w:hAnsi="Times New Roman;serif"/>
                <w:b w:val="false"/>
                <w:color w:val="000000"/>
                <w:sz w:val="20"/>
              </w:rPr>
            </w:pPr>
            <w:r>
              <w:rPr>
                <w:rFonts w:ascii="Times New Roman;serif" w:hAnsi="Times New Roman;serif"/>
                <w:b w:val="false"/>
                <w:color w:val="000000"/>
                <w:sz w:val="20"/>
              </w:rPr>
              <w:t>Club Loan</w:t>
            </w:r>
          </w:p>
        </w:tc>
        <w:tc>
          <w:tcPr>
            <w:tcW w:w="8910" w:type="dxa"/>
            <w:gridSpan w:val="3"/>
            <w:tcBorders/>
            <w:shd w:fill="FFFFFF" w:val="clear"/>
            <w:tcMar>
              <w:top w:w="0" w:type="dxa"/>
              <w:left w:w="0" w:type="dxa"/>
              <w:bottom w:w="0" w:type="dxa"/>
              <w:right w:w="0" w:type="dxa"/>
            </w:tcMar>
            <w:vAlign w:val="center"/>
          </w:tcPr>
          <w:p>
            <w:pPr>
              <w:pStyle w:val="TableContents"/>
              <w:bidi w:val="0"/>
              <w:spacing w:lineRule="auto" w:line="316" w:before="0" w:after="2"/>
              <w:jc w:val="both"/>
              <w:rPr>
                <w:rFonts w:ascii="Times New Roman;serif" w:hAnsi="Times New Roman;serif"/>
                <w:b w:val="false"/>
                <w:color w:val="000000"/>
                <w:sz w:val="20"/>
              </w:rPr>
            </w:pPr>
            <w:r>
              <w:rPr>
                <w:rFonts w:ascii="Times New Roman;serif" w:hAnsi="Times New Roman;serif"/>
                <w:b w:val="false"/>
                <w:color w:val="000000"/>
                <w:sz w:val="20"/>
              </w:rPr>
              <w:t>Syndicated multicurrency green term loan facility entered into on February 22, 2024. The facility consists of two tranches: Facility A (EUR denominated at €340.0 million with an interest rate at the relevant EURIBOR plus 2.85%) and Facility B (USD denominated at $583.5 million, with an interest rate at the Chicago Mercantile Exchange Term SOFR plus 3.35%). Both facilities have a 36-month repayment period with repayment of all drawdowns due in full at the end of the term, including any unpaid interest and other fees.</w:t>
            </w:r>
          </w:p>
        </w:tc>
      </w:tr>
      <w:tr>
        <w:trPr/>
        <w:tc>
          <w:tcPr>
            <w:tcW w:w="1295" w:type="dxa"/>
            <w:gridSpan w:val="3"/>
            <w:tcBorders/>
            <w:vAlign w:val="center"/>
          </w:tcPr>
          <w:p>
            <w:pPr>
              <w:pStyle w:val="TableContents"/>
              <w:bidi w:val="0"/>
              <w:spacing w:before="0" w:after="283"/>
              <w:jc w:val="left"/>
              <w:rPr>
                <w:sz w:val="4"/>
                <w:szCs w:val="4"/>
              </w:rPr>
            </w:pPr>
            <w:r>
              <w:rPr>
                <w:sz w:val="4"/>
                <w:szCs w:val="4"/>
              </w:rPr>
            </w:r>
          </w:p>
        </w:tc>
        <w:tc>
          <w:tcPr>
            <w:tcW w:w="8910" w:type="dxa"/>
            <w:gridSpan w:val="3"/>
            <w:tcBorders/>
            <w:vAlign w:val="center"/>
          </w:tcPr>
          <w:p>
            <w:pPr>
              <w:pStyle w:val="TableContents"/>
              <w:bidi w:val="0"/>
              <w:spacing w:before="0" w:after="283"/>
              <w:jc w:val="left"/>
              <w:rPr>
                <w:sz w:val="4"/>
                <w:szCs w:val="4"/>
              </w:rPr>
            </w:pPr>
            <w:r>
              <w:rPr>
                <w:sz w:val="4"/>
                <w:szCs w:val="4"/>
              </w:rPr>
            </w:r>
          </w:p>
        </w:tc>
      </w:tr>
      <w:tr>
        <w:trPr/>
        <w:tc>
          <w:tcPr>
            <w:tcW w:w="1295" w:type="dxa"/>
            <w:gridSpan w:val="3"/>
            <w:tcBorders/>
            <w:vAlign w:val="center"/>
          </w:tcPr>
          <w:p>
            <w:pPr>
              <w:pStyle w:val="TableContents"/>
              <w:bidi w:val="0"/>
              <w:spacing w:before="0" w:after="283"/>
              <w:jc w:val="left"/>
              <w:rPr>
                <w:sz w:val="4"/>
                <w:szCs w:val="4"/>
              </w:rPr>
            </w:pPr>
            <w:r>
              <w:rPr>
                <w:sz w:val="4"/>
                <w:szCs w:val="4"/>
              </w:rPr>
            </w:r>
          </w:p>
        </w:tc>
        <w:tc>
          <w:tcPr>
            <w:tcW w:w="89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Polestar had an equivalent amount of $4,468.9 million in drawn working capital facilities, bilateral and/or syndicated loans from credit institutions, and an uncommitted financing from credit institutions equivalent to $696.4 million available for drawdown.</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Related party financing</w:t>
      </w:r>
    </w:p>
    <w:p>
      <w:pPr>
        <w:pStyle w:val="TextBody"/>
        <w:bidi w:val="0"/>
        <w:spacing w:lineRule="auto" w:line="240" w:before="240" w:after="283"/>
        <w:jc w:val="both"/>
        <w:rPr>
          <w:rFonts w:ascii="Times New Roman;serif" w:hAnsi="Times New Roman;serif"/>
          <w:b w:val="false"/>
          <w:i/>
          <w:color w:val="000000"/>
          <w:sz w:val="20"/>
        </w:rPr>
      </w:pPr>
      <w:r>
        <w:rPr>
          <w:rFonts w:ascii="Times New Roman;serif" w:hAnsi="Times New Roman;serif"/>
          <w:b w:val="false"/>
          <w:i/>
          <w:color w:val="000000"/>
          <w:sz w:val="20"/>
        </w:rPr>
        <w:t>Term credit facilities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Group's term credit facilities with its related parties which were fully drawn as of June 30, 2026 are summarized as follows:</w:t>
      </w:r>
    </w:p>
    <w:tbl>
      <w:tblPr>
        <w:tblW w:w="7109" w:type="dxa"/>
        <w:jc w:val="left"/>
        <w:tblInd w:w="0" w:type="dxa"/>
        <w:tblLayout w:type="fixed"/>
        <w:tblCellMar>
          <w:top w:w="28" w:type="dxa"/>
          <w:left w:w="28" w:type="dxa"/>
          <w:bottom w:w="28" w:type="dxa"/>
          <w:right w:w="28" w:type="dxa"/>
        </w:tblCellMar>
      </w:tblPr>
      <w:tblGrid>
        <w:gridCol w:w="462"/>
        <w:gridCol w:w="406"/>
        <w:gridCol w:w="408"/>
        <w:gridCol w:w="439"/>
        <w:gridCol w:w="439"/>
        <w:gridCol w:w="441"/>
        <w:gridCol w:w="557"/>
        <w:gridCol w:w="557"/>
        <w:gridCol w:w="565"/>
        <w:gridCol w:w="830"/>
        <w:gridCol w:w="830"/>
        <w:gridCol w:w="1175"/>
      </w:tblGrid>
      <w:tr>
        <w:trP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Counterparty</w:t>
            </w:r>
          </w:p>
        </w:tc>
        <w:tc>
          <w:tcPr>
            <w:tcW w:w="1319"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Total facility</w:t>
            </w:r>
          </w:p>
        </w:tc>
        <w:tc>
          <w:tcPr>
            <w:tcW w:w="1679"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Maturity</w:t>
            </w:r>
          </w:p>
        </w:tc>
        <w:tc>
          <w:tcPr>
            <w:tcW w:w="2835"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Interest rate</w:t>
            </w:r>
          </w:p>
        </w:tc>
      </w:tr>
      <w:tr>
        <w:trPr/>
        <w:tc>
          <w:tcPr>
            <w:tcW w:w="12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left"/>
              <w:rPr/>
            </w:pPr>
            <w:r>
              <w:rPr>
                <w:rFonts w:ascii="Times New Roman;serif" w:hAnsi="Times New Roman;serif"/>
                <w:b w:val="false"/>
                <w:color w:val="000000"/>
                <w:sz w:val="20"/>
              </w:rPr>
              <w:t>Snita</w:t>
            </w:r>
            <w:r>
              <w:rPr>
                <w:rFonts w:ascii="Times New Roman;serif" w:hAnsi="Times New Roman;serif"/>
                <w:b w:val="false"/>
                <w:color w:val="000000"/>
                <w:sz w:val="13"/>
              </w:rPr>
              <w:t>1</w:t>
            </w:r>
          </w:p>
        </w:tc>
        <w:tc>
          <w:tcPr>
            <w:tcW w:w="13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both"/>
              <w:rPr>
                <w:rFonts w:ascii="Times New Roman;serif" w:hAnsi="Times New Roman;serif"/>
                <w:b w:val="false"/>
                <w:color w:val="000000"/>
                <w:sz w:val="20"/>
              </w:rPr>
            </w:pPr>
            <w:r>
              <w:rPr>
                <w:rFonts w:ascii="Times New Roman;serif" w:hAnsi="Times New Roman;serif"/>
                <w:b w:val="false"/>
                <w:color w:val="000000"/>
                <w:sz w:val="20"/>
              </w:rPr>
              <w:t>$665.3 million</w:t>
            </w:r>
          </w:p>
        </w:tc>
        <w:tc>
          <w:tcPr>
            <w:tcW w:w="16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both"/>
              <w:rPr>
                <w:rFonts w:ascii="Times New Roman;serif" w:hAnsi="Times New Roman;serif"/>
                <w:b w:val="false"/>
                <w:color w:val="000000"/>
                <w:sz w:val="20"/>
              </w:rPr>
            </w:pPr>
            <w:r>
              <w:rPr>
                <w:rFonts w:ascii="Times New Roman;serif" w:hAnsi="Times New Roman;serif"/>
                <w:b w:val="false"/>
                <w:color w:val="000000"/>
                <w:sz w:val="20"/>
              </w:rPr>
              <w:t>December 31, 2031</w:t>
            </w:r>
          </w:p>
        </w:tc>
        <w:tc>
          <w:tcPr>
            <w:tcW w:w="28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both"/>
              <w:rPr>
                <w:rFonts w:ascii="Times New Roman;serif" w:hAnsi="Times New Roman;serif"/>
                <w:b w:val="false"/>
                <w:color w:val="000000"/>
                <w:sz w:val="20"/>
              </w:rPr>
            </w:pPr>
            <w:r>
              <w:rPr>
                <w:rFonts w:ascii="Times New Roman;serif" w:hAnsi="Times New Roman;serif"/>
                <w:b w:val="false"/>
                <w:color w:val="000000"/>
                <w:sz w:val="20"/>
              </w:rPr>
              <w:t>SOFR rate plus 5.40% per annum</w:t>
            </w:r>
          </w:p>
        </w:tc>
      </w:tr>
      <w:tr>
        <w:trPr/>
        <w:tc>
          <w:tcPr>
            <w:tcW w:w="1276"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pPr>
            <w:r>
              <w:rPr>
                <w:rFonts w:ascii="Times New Roman;serif" w:hAnsi="Times New Roman;serif"/>
                <w:b w:val="false"/>
                <w:color w:val="000000"/>
                <w:sz w:val="20"/>
              </w:rPr>
              <w:t>Geely</w:t>
            </w:r>
            <w:r>
              <w:rPr>
                <w:rFonts w:ascii="Times New Roman;serif" w:hAnsi="Times New Roman;serif"/>
                <w:b w:val="false"/>
                <w:color w:val="000000"/>
                <w:sz w:val="13"/>
              </w:rPr>
              <w:t>2</w:t>
            </w:r>
          </w:p>
        </w:tc>
        <w:tc>
          <w:tcPr>
            <w:tcW w:w="1319"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both"/>
              <w:rPr>
                <w:rFonts w:ascii="Times New Roman;serif" w:hAnsi="Times New Roman;serif"/>
                <w:b w:val="false"/>
                <w:color w:val="000000"/>
                <w:sz w:val="20"/>
              </w:rPr>
            </w:pPr>
            <w:r>
              <w:rPr>
                <w:rFonts w:ascii="Times New Roman;serif" w:hAnsi="Times New Roman;serif"/>
                <w:b w:val="false"/>
                <w:color w:val="000000"/>
                <w:sz w:val="20"/>
              </w:rPr>
              <w:t>$300.0 million</w:t>
            </w:r>
          </w:p>
        </w:tc>
        <w:tc>
          <w:tcPr>
            <w:tcW w:w="1679"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both"/>
              <w:rPr>
                <w:rFonts w:ascii="Times New Roman;serif" w:hAnsi="Times New Roman;serif"/>
                <w:b w:val="false"/>
                <w:color w:val="000000"/>
                <w:sz w:val="20"/>
              </w:rPr>
            </w:pPr>
            <w:r>
              <w:rPr>
                <w:rFonts w:ascii="Times New Roman;serif" w:hAnsi="Times New Roman;serif"/>
                <w:b w:val="false"/>
                <w:color w:val="000000"/>
                <w:sz w:val="20"/>
              </w:rPr>
              <w:t>June 30, 2027</w:t>
            </w:r>
          </w:p>
        </w:tc>
        <w:tc>
          <w:tcPr>
            <w:tcW w:w="2835"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both"/>
              <w:rPr>
                <w:rFonts w:ascii="Times New Roman;serif" w:hAnsi="Times New Roman;serif"/>
                <w:b w:val="false"/>
                <w:color w:val="000000"/>
                <w:sz w:val="20"/>
              </w:rPr>
            </w:pPr>
            <w:r>
              <w:rPr>
                <w:rFonts w:ascii="Times New Roman;serif" w:hAnsi="Times New Roman;serif"/>
                <w:b w:val="false"/>
                <w:color w:val="000000"/>
                <w:sz w:val="20"/>
              </w:rPr>
              <w:t>SOFR rate plus 3.20% per annum</w:t>
            </w:r>
          </w:p>
        </w:tc>
      </w:tr>
    </w:tbl>
    <w:p>
      <w:pPr>
        <w:pStyle w:val="TextBody"/>
        <w:bidi w:val="0"/>
        <w:spacing w:lineRule="auto" w:line="271" w:before="60" w:after="283"/>
        <w:jc w:val="both"/>
        <w:rPr>
          <w:rFonts w:ascii="Times New Roman;serif" w:hAnsi="Times New Roman;serif"/>
          <w:b w:val="false"/>
          <w:color w:val="000000"/>
          <w:sz w:val="16"/>
        </w:rPr>
      </w:pPr>
      <w:r>
        <w:rPr>
          <w:rFonts w:ascii="Times New Roman;serif" w:hAnsi="Times New Roman;serif"/>
          <w:b w:val="false"/>
          <w:color w:val="000000"/>
          <w:sz w:val="16"/>
        </w:rPr>
        <w:t>1 - Under the terms of this term credit facility, if Polestar announces an offering of shares of any class of share capital, with a proposed capital raising of at least $350.0 million, and no fewer than five institutional investors participating in the offering, then Snita has the right to convert the principal amount of any outstanding loans into equity.</w:t>
      </w:r>
    </w:p>
    <w:p>
      <w:pPr>
        <w:pStyle w:val="TextBody"/>
        <w:bidi w:val="0"/>
        <w:spacing w:lineRule="auto" w:line="271" w:before="60" w:after="283"/>
        <w:jc w:val="both"/>
        <w:rPr>
          <w:rFonts w:ascii="Times New Roman;serif" w:hAnsi="Times New Roman;serif"/>
          <w:b w:val="false"/>
          <w:color w:val="000000"/>
          <w:sz w:val="16"/>
        </w:rPr>
      </w:pPr>
      <w:r>
        <w:rPr>
          <w:rFonts w:ascii="Times New Roman;serif" w:hAnsi="Times New Roman;serif"/>
          <w:b w:val="false"/>
          <w:color w:val="000000"/>
          <w:sz w:val="16"/>
        </w:rPr>
        <w:t>2 - Under the terms of this term credit facility, Geely can request all or portion of the outstanding loan principal into Polestar equity at a price calculated on the average closing price of the Class A American Depositary Shares on NASDAQ for the 5 trading days immediately preceding the date of the equity conversion exercise notice.</w:t>
      </w:r>
    </w:p>
    <w:p>
      <w:pPr>
        <w:pStyle w:val="TextBody"/>
        <w:bidi w:val="0"/>
        <w:spacing w:lineRule="auto" w:line="240" w:before="240" w:after="283"/>
        <w:jc w:val="both"/>
        <w:rPr>
          <w:rFonts w:ascii="Times New Roman;serif" w:hAnsi="Times New Roman;serif"/>
          <w:b w:val="false"/>
          <w:i/>
          <w:color w:val="000000"/>
          <w:sz w:val="20"/>
        </w:rPr>
      </w:pPr>
      <w:r>
        <w:rPr>
          <w:rFonts w:ascii="Times New Roman;serif" w:hAnsi="Times New Roman;serif"/>
          <w:b w:val="false"/>
          <w:i/>
          <w:color w:val="000000"/>
          <w:sz w:val="20"/>
        </w:rPr>
        <w:t>Asset transfer agreement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On December 8, 2023, Polestar and Geely entered into an asset transfer arrangement which was designed to provide financing to Polestar in exchange for Polestar transferring legal ownership of certain Polestar unique tooling and equipment that will be used in the manufacturing of the PS3 (the "PS3 Tooling and Equipment") to Geely. In 2025, Polestar executed two separate tooling transfer arrangements at fixed interest rates with Geely entities for the PS4 and PS5 unique vendor tooling.</w:t>
      </w:r>
    </w:p>
    <w:p>
      <w:pPr>
        <w:pStyle w:val="TextBody"/>
        <w:bidi w:val="0"/>
        <w:spacing w:lineRule="auto" w:line="240" w:before="240" w:after="283"/>
        <w:jc w:val="both"/>
        <w:rPr>
          <w:rFonts w:ascii="Times New Roman;serif" w:hAnsi="Times New Roman;serif"/>
          <w:b w:val="false"/>
          <w:i/>
          <w:color w:val="000000"/>
          <w:sz w:val="20"/>
        </w:rPr>
      </w:pPr>
      <w:r>
        <w:rPr>
          <w:rFonts w:ascii="Times New Roman;serif" w:hAnsi="Times New Roman;serif"/>
          <w:b w:val="false"/>
          <w:i/>
          <w:color w:val="000000"/>
          <w:sz w:val="20"/>
        </w:rPr>
        <w:t>Market RCFs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maintains a Market RCF facility in the UK with its related party Volvo Cars Financial Services, a joint venture between Banco Santander ES and Polestar related party, Volvo Car Corporation SE.</w:t>
      </w:r>
    </w:p>
    <w:p>
      <w:pPr>
        <w:pStyle w:val="TextBody"/>
        <w:bidi w:val="0"/>
        <w:spacing w:lineRule="auto" w:line="240" w:before="240" w:after="283"/>
        <w:jc w:val="both"/>
        <w:rPr>
          <w:rFonts w:ascii="Times New Roman;serif" w:hAnsi="Times New Roman;serif"/>
          <w:b w:val="false"/>
          <w:i/>
          <w:color w:val="000000"/>
          <w:sz w:val="20"/>
        </w:rPr>
      </w:pPr>
      <w:r>
        <w:rPr>
          <w:rFonts w:ascii="Times New Roman;serif" w:hAnsi="Times New Roman;serif"/>
          <w:b w:val="false"/>
          <w:i/>
          <w:color w:val="000000"/>
          <w:sz w:val="20"/>
        </w:rPr>
        <w:t>Other</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may also delay payments on its related party trade payables, allowing additional liquidity to remain available for other working capital and financial needs. Delays in trade payables usually incur 'interest for late payment' and may result in further collection actions by the supplier.</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Funding maturity</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(presented in thousands of U.S. dollars) summarizes the maturity of the Group's primary funding instruments as of June 30, 2026:</w:t>
      </w:r>
    </w:p>
    <w:p>
      <w:pPr>
        <w:pStyle w:val="TextBody"/>
        <w:bidi w:val="0"/>
        <w:spacing w:before="120" w:after="283"/>
        <w:ind w:left="0" w:right="0" w:hanging="360"/>
        <w:jc w:val="both"/>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88"/>
        <w:gridCol w:w="517"/>
        <w:gridCol w:w="519"/>
        <w:gridCol w:w="488"/>
        <w:gridCol w:w="488"/>
        <w:gridCol w:w="311"/>
        <w:gridCol w:w="413"/>
        <w:gridCol w:w="413"/>
        <w:gridCol w:w="311"/>
        <w:gridCol w:w="488"/>
        <w:gridCol w:w="488"/>
        <w:gridCol w:w="334"/>
        <w:gridCol w:w="413"/>
        <w:gridCol w:w="413"/>
        <w:gridCol w:w="261"/>
        <w:gridCol w:w="413"/>
        <w:gridCol w:w="413"/>
        <w:gridCol w:w="261"/>
        <w:gridCol w:w="549"/>
        <w:gridCol w:w="458"/>
        <w:gridCol w:w="431"/>
        <w:gridCol w:w="488"/>
        <w:gridCol w:w="488"/>
        <w:gridCol w:w="259"/>
      </w:tblGrid>
      <w:tr>
        <w:trPr/>
        <w:tc>
          <w:tcPr>
            <w:tcW w:w="58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162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0-3 months</w:t>
            </w:r>
          </w:p>
        </w:tc>
        <w:tc>
          <w:tcPr>
            <w:tcW w:w="1137"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3-6 months</w:t>
            </w:r>
          </w:p>
        </w:tc>
        <w:tc>
          <w:tcPr>
            <w:tcW w:w="1310"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6-12 months</w:t>
            </w:r>
          </w:p>
        </w:tc>
        <w:tc>
          <w:tcPr>
            <w:tcW w:w="1087"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1-2 years</w:t>
            </w:r>
          </w:p>
        </w:tc>
        <w:tc>
          <w:tcPr>
            <w:tcW w:w="1087"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2-5 years</w:t>
            </w:r>
          </w:p>
        </w:tc>
        <w:tc>
          <w:tcPr>
            <w:tcW w:w="1438"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More than 5 years</w:t>
            </w:r>
          </w:p>
        </w:tc>
        <w:tc>
          <w:tcPr>
            <w:tcW w:w="1235"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62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Loans and borrowings</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1,822,044 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884,155 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2,250,356 </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112,814 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168,661 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665,345 </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5,903,375 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7,363 </w:t>
            </w:r>
          </w:p>
        </w:tc>
        <w:tc>
          <w:tcPr>
            <w:tcW w:w="3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7,269 </w:t>
            </w:r>
          </w:p>
        </w:tc>
        <w:tc>
          <w:tcPr>
            <w:tcW w:w="3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14,009 </w:t>
            </w:r>
          </w:p>
        </w:tc>
        <w:tc>
          <w:tcPr>
            <w:tcW w:w="3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28,108 </w:t>
            </w:r>
          </w:p>
        </w:tc>
        <w:tc>
          <w:tcPr>
            <w:tcW w:w="2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45,966 </w:t>
            </w:r>
          </w:p>
        </w:tc>
        <w:tc>
          <w:tcPr>
            <w:tcW w:w="2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10,386 </w:t>
            </w:r>
          </w:p>
        </w:tc>
        <w:tc>
          <w:tcPr>
            <w:tcW w:w="4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113,101 </w:t>
            </w:r>
          </w:p>
        </w:tc>
        <w:tc>
          <w:tcPr>
            <w:tcW w:w="2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Funding currency</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(presented in thousands of U.S. dollars) summarizes the currency of the Group's primary funding instruments as of June 30, 2026:</w:t>
      </w:r>
    </w:p>
    <w:p>
      <w:pPr>
        <w:pStyle w:val="TextBody"/>
        <w:bidi w:val="0"/>
        <w:spacing w:before="0" w:after="0"/>
        <w:jc w:val="left"/>
        <w:rPr/>
      </w:pPr>
      <w:r>
        <w:rPr/>
      </w:r>
    </w:p>
    <w:tbl>
      <w:tblPr>
        <w:tblW w:w="9133" w:type="dxa"/>
        <w:jc w:val="left"/>
        <w:tblInd w:w="0" w:type="dxa"/>
        <w:tblLayout w:type="fixed"/>
        <w:tblCellMar>
          <w:top w:w="28" w:type="dxa"/>
          <w:left w:w="28" w:type="dxa"/>
          <w:bottom w:w="28" w:type="dxa"/>
          <w:right w:w="28" w:type="dxa"/>
        </w:tblCellMar>
      </w:tblPr>
      <w:tblGrid>
        <w:gridCol w:w="695"/>
        <w:gridCol w:w="611"/>
        <w:gridCol w:w="613"/>
        <w:gridCol w:w="488"/>
        <w:gridCol w:w="488"/>
        <w:gridCol w:w="161"/>
        <w:gridCol w:w="488"/>
        <w:gridCol w:w="488"/>
        <w:gridCol w:w="171"/>
        <w:gridCol w:w="413"/>
        <w:gridCol w:w="413"/>
        <w:gridCol w:w="171"/>
        <w:gridCol w:w="360"/>
        <w:gridCol w:w="361"/>
        <w:gridCol w:w="166"/>
        <w:gridCol w:w="360"/>
        <w:gridCol w:w="361"/>
        <w:gridCol w:w="171"/>
        <w:gridCol w:w="360"/>
        <w:gridCol w:w="361"/>
        <w:gridCol w:w="201"/>
        <w:gridCol w:w="488"/>
        <w:gridCol w:w="488"/>
        <w:gridCol w:w="256"/>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USD</w:t>
            </w:r>
          </w:p>
        </w:tc>
        <w:tc>
          <w:tcPr>
            <w:tcW w:w="1147"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CNY</w:t>
            </w:r>
          </w:p>
        </w:tc>
        <w:tc>
          <w:tcPr>
            <w:tcW w:w="997"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EUR</w:t>
            </w:r>
          </w:p>
        </w:tc>
        <w:tc>
          <w:tcPr>
            <w:tcW w:w="887"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SEK</w:t>
            </w:r>
          </w:p>
        </w:tc>
        <w:tc>
          <w:tcPr>
            <w:tcW w:w="892"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GBP</w:t>
            </w:r>
          </w:p>
        </w:tc>
        <w:tc>
          <w:tcPr>
            <w:tcW w:w="922"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Other</w:t>
            </w:r>
          </w:p>
        </w:tc>
        <w:tc>
          <w:tcPr>
            <w:tcW w:w="1232"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Loans and borrowings</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3,699,109 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1,287,867 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851,927 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64,472 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5,903,375 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7,117 </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7,291 </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65,924 </w:t>
            </w:r>
          </w:p>
        </w:tc>
        <w:tc>
          <w:tcPr>
            <w:tcW w:w="1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25,569 </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6,298 </w:t>
            </w:r>
          </w:p>
        </w:tc>
        <w:tc>
          <w:tcPr>
            <w:tcW w:w="2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113,101 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Funding interest rate structure</w:t>
      </w:r>
    </w:p>
    <w:p>
      <w:pPr>
        <w:pStyle w:val="TextBody"/>
        <w:bidi w:val="0"/>
        <w:spacing w:lineRule="auto" w:line="240"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(presented in thousands of U.S. dollars) summarizes the interest rate structures of the Group's primary funding instruments as of June 30, 2026:</w:t>
      </w:r>
    </w:p>
    <w:tbl>
      <w:tblPr>
        <w:tblW w:w="10205" w:type="dxa"/>
        <w:jc w:val="left"/>
        <w:tblInd w:w="0" w:type="dxa"/>
        <w:tblLayout w:type="fixed"/>
        <w:tblCellMar>
          <w:top w:w="28" w:type="dxa"/>
          <w:left w:w="28" w:type="dxa"/>
          <w:bottom w:w="28" w:type="dxa"/>
          <w:right w:w="28" w:type="dxa"/>
        </w:tblCellMar>
      </w:tblPr>
      <w:tblGrid>
        <w:gridCol w:w="659"/>
        <w:gridCol w:w="580"/>
        <w:gridCol w:w="581"/>
        <w:gridCol w:w="488"/>
        <w:gridCol w:w="488"/>
        <w:gridCol w:w="196"/>
        <w:gridCol w:w="494"/>
        <w:gridCol w:w="492"/>
        <w:gridCol w:w="471"/>
        <w:gridCol w:w="605"/>
        <w:gridCol w:w="595"/>
        <w:gridCol w:w="597"/>
        <w:gridCol w:w="434"/>
        <w:gridCol w:w="434"/>
        <w:gridCol w:w="436"/>
        <w:gridCol w:w="484"/>
        <w:gridCol w:w="465"/>
        <w:gridCol w:w="467"/>
        <w:gridCol w:w="488"/>
        <w:gridCol w:w="488"/>
        <w:gridCol w:w="263"/>
      </w:tblGrid>
      <w:tr>
        <w:trPr/>
        <w:tc>
          <w:tcPr>
            <w:tcW w:w="65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18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Fixed</w:t>
            </w:r>
          </w:p>
        </w:tc>
        <w:tc>
          <w:tcPr>
            <w:tcW w:w="1457"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Floating - SOFR</w:t>
            </w:r>
          </w:p>
        </w:tc>
        <w:tc>
          <w:tcPr>
            <w:tcW w:w="1797"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Floating - EURIBOR</w:t>
            </w:r>
          </w:p>
        </w:tc>
        <w:tc>
          <w:tcPr>
            <w:tcW w:w="130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Floating - LPR</w:t>
            </w:r>
          </w:p>
        </w:tc>
        <w:tc>
          <w:tcPr>
            <w:tcW w:w="1416"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Floating - Other</w:t>
            </w:r>
          </w:p>
        </w:tc>
        <w:tc>
          <w:tcPr>
            <w:tcW w:w="1239"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820"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Loans and borrowings</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2,331,566 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2,656,533 </w:t>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852,042 </w:t>
            </w:r>
          </w:p>
        </w:tc>
        <w:tc>
          <w:tcPr>
            <w:tcW w:w="5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63,234 </w:t>
            </w:r>
          </w:p>
        </w:tc>
        <w:tc>
          <w:tcPr>
            <w:tcW w:w="4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5,903,375 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113,101 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113,101 </w:t>
            </w:r>
          </w:p>
        </w:tc>
        <w:tc>
          <w:tcPr>
            <w:tcW w:w="2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Covenants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Polestar's syndicated Club Loan is subject to covenant requirements including, but not limited to, a defined minimum annual revenue, a defined range for Polestar's debt-to-asset ratio (calculated on a quarterly basis), minimum quarterly cash levels of €400.0 million and maximum quarterly financial indebtedness (as defined in the Club Loan facilities agreement) of $5,500.0 million. Polestar was not in default related to the syndicated loan as of June 30, 2026.</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On March 31, 2026, Standard Chartered Bank and the syndicated lenders agreed to amend the debt-to-asset ratio range for all test periods for 2026, including an increase from 0.85:1 to 1.50:1 for the second quarter of 2026. The outcome of the debt-to-asset ratio as of Q2 2026 was 1.47:1, and, as a result, Polestar was not in default related to the syndicated loan as of June 30, 2026.</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Polestar's TFF is subject to certain covenant requirements and shares the same minimum quarterly cash covenant as the syndicated Club Loan. As of June 30, 2026, Polestar was not in breach of these covenants.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Some of Polestar's Chinese loan facilities are subject to covenant requirements, including, but not limited to, a 300% liability-to-asset ratio of any single borrowing entity within the Group. Additionally, one specific loan facility required Polestar to reach a retail sales volume of 30,000 units in H1 2026, otherwise allowing the lender to claim repayment from Polestar of 25% of the outstanding amount of the loan per month thereafter. Polestar reported a retail sales volume of 30,423 cars in H1 2026. As of June 30, 2026, Polestar was not in breach of its Chinese loan covenants.</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Funding and treasury policies and objectives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has established a liquidity risk management framework for management of its short-term and long-term funding and liquidity requirements and prepares long-term planning in order to mitigate funding and re-financing risks. Polestar's liquidity management takes into account the maturities of financial assets and financial liabilities and estimates of cash flows from business operations. Certain key stakeholders engage in a weekly meeting to discuss Polestar's current and forecasted liquidity position to determine the Group's funding needs. Polestar prepares long-term planning to mitigate funding and re-financing risks. Depending on the liquidity needs, Polestar will assess the most appropriate financing option – entering into financing or debt agreements or procuring equity investments to reinforce its capital structure. All drawdowns on loans are evaluated against future liquidity needs, investment plans and the restrictions on debt levels arising from financial covenants on certain of its borrowings.</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Liquidity and funding plan – Short term (&lt;12 months)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short term, the Group works with a series of financing alternatives, which includes, in addition to opportunistic equity financing, the use of credit lines for general corporate purposes, lines that can be utilized in relation to working capital needs (Chinese loan facilities), lines that can finance the cars while the cars are on transport (TFF), Market RCFs for cars in Polestar's inventories, non-recourse factoring of its receivables and may, from time to time, defer related party payments.</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Liquidity and funding plan – Long term (&gt;12 months)</w:t>
      </w:r>
    </w:p>
    <w:p>
      <w:pPr>
        <w:pStyle w:val="TextBody"/>
        <w:bidi w:val="0"/>
        <w:spacing w:lineRule="auto" w:line="240" w:before="120" w:after="283"/>
        <w:jc w:val="both"/>
        <w:rPr/>
      </w:pPr>
      <w:r>
        <w:rPr>
          <w:rFonts w:ascii="Times New Roman;serif" w:hAnsi="Times New Roman;serif"/>
          <w:b w:val="false"/>
          <w:color w:val="000000"/>
          <w:sz w:val="20"/>
        </w:rPr>
        <w:t xml:space="preserve">For the long-term, the Group looks to optimize and extend credit lines as detailed in </w:t>
      </w:r>
      <w:r>
        <w:rPr>
          <w:rFonts w:ascii="Times New Roman;serif" w:hAnsi="Times New Roman;serif"/>
          <w:b w:val="false"/>
          <w:i/>
          <w:color w:val="000000"/>
          <w:sz w:val="20"/>
        </w:rPr>
        <w:t xml:space="preserve">Funding types, maturity, currency and interest rate structure. </w:t>
      </w:r>
      <w:r>
        <w:rPr>
          <w:rFonts w:ascii="Times New Roman;serif" w:hAnsi="Times New Roman;serif"/>
          <w:b w:val="false"/>
          <w:color w:val="000000"/>
          <w:sz w:val="20"/>
        </w:rPr>
        <w:t>The Group also looks for opportunities for additional equity offerings such as the $400.0 million and $300.0 million signed in February and March, respectively.</w:t>
      </w:r>
    </w:p>
    <w:p>
      <w:pPr>
        <w:pStyle w:val="TextBody"/>
        <w:bidi w:val="0"/>
        <w:spacing w:before="120" w:after="283"/>
        <w:ind w:left="0" w:right="0" w:hanging="360"/>
        <w:jc w:val="both"/>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 this regard, the Group continues to expect its long-term financing lines to be provided by a pool of banks and credit lines provided by Chinese and International counterparties.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For many of its short- and long-term credit lines provided by Chinese and International counterparties, the Group benefits from either a comfort letter or security that is provided by Geely.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 xml:space="preserve">Non-GAAP Financial Measures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uses both generally accepted accounting principles ("GAAP", i.e., IFRS) and non-GAAP (i.e., non-IFRS) financial measures to evaluate operating performance and for other strategic and financial decision-making purposes. Polestar believes non-GAAP financial measures are helpful to investors as they provide useful perspective on underlying business trends and assist in period-on-period comparisons. These measures also improve the ability of management and investors to assess and compare the financial performance and position of Polestar with those of other companies.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These non-GAAP measures are presented for supplemental information purposes only and should not be considered a substitute for financial information presented in accordance with GAAP. The measures are not presented under a comprehensive set of accounting rules and, therefore, should only be read in conjunction with financial information reported under GAAP when assessing Polestar's operating performance.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measures may not be the same as similarly titled measures used by other companies due to possible differences in calculation methods and items or events being adjusted. A reconciliation between non-GAAP financial measures and the most comparable GAAP performance measures is provided below.</w:t>
      </w:r>
    </w:p>
    <w:p>
      <w:pPr>
        <w:pStyle w:val="TextBody"/>
        <w:bidi w:val="0"/>
        <w:spacing w:lineRule="auto" w:line="240" w:before="120" w:after="283"/>
        <w:jc w:val="both"/>
        <w:rPr/>
      </w:pPr>
      <w:r>
        <w:rPr>
          <w:rFonts w:ascii="Times New Roman;serif" w:hAnsi="Times New Roman;serif"/>
          <w:b w:val="false"/>
          <w:color w:val="000000"/>
          <w:sz w:val="20"/>
        </w:rPr>
        <w:t xml:space="preserve">Non-GAAP financial measures used by management are </w:t>
      </w:r>
      <w:r>
        <w:rPr>
          <w:rFonts w:ascii="Times New Roman;serif" w:hAnsi="Times New Roman;serif"/>
          <w:b w:val="false"/>
          <w:i/>
          <w:color w:val="000000"/>
          <w:sz w:val="20"/>
        </w:rPr>
        <w:t>Adjusted EBITDA</w:t>
      </w:r>
      <w:r>
        <w:rPr>
          <w:rFonts w:ascii="Times New Roman;serif" w:hAnsi="Times New Roman;serif"/>
          <w:b w:val="false"/>
          <w:color w:val="000000"/>
          <w:sz w:val="20"/>
        </w:rPr>
        <w:t xml:space="preserve">, </w:t>
      </w:r>
      <w:r>
        <w:rPr>
          <w:rFonts w:ascii="Times New Roman;serif" w:hAnsi="Times New Roman;serif"/>
          <w:b w:val="false"/>
          <w:i/>
          <w:color w:val="000000"/>
          <w:sz w:val="20"/>
        </w:rPr>
        <w:t>Free Cash Flow</w:t>
      </w:r>
      <w:r>
        <w:rPr>
          <w:rFonts w:ascii="Times New Roman;serif" w:hAnsi="Times New Roman;serif"/>
          <w:b w:val="false"/>
          <w:color w:val="000000"/>
          <w:sz w:val="20"/>
        </w:rPr>
        <w:t xml:space="preserve">, </w:t>
      </w:r>
      <w:r>
        <w:rPr>
          <w:rFonts w:ascii="Times New Roman;serif" w:hAnsi="Times New Roman;serif"/>
          <w:b w:val="false"/>
          <w:i/>
          <w:color w:val="000000"/>
          <w:sz w:val="20"/>
        </w:rPr>
        <w:t>Adjusted Gross Profit / (Loss)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Adjusted Gross Margin</w:t>
      </w:r>
      <w:r>
        <w:rPr>
          <w:rFonts w:ascii="Times New Roman;serif" w:hAnsi="Times New Roman;serif"/>
          <w:b w:val="false"/>
          <w:color w:val="000000"/>
          <w:sz w:val="20"/>
        </w:rPr>
        <w:t>.</w:t>
      </w:r>
    </w:p>
    <w:p>
      <w:pPr>
        <w:pStyle w:val="TextBody"/>
        <w:bidi w:val="0"/>
        <w:spacing w:lineRule="auto" w:line="240" w:before="120" w:after="283"/>
        <w:jc w:val="both"/>
        <w:rPr/>
      </w:pPr>
      <w:r>
        <w:rPr>
          <w:rFonts w:ascii="Times New Roman;serif" w:hAnsi="Times New Roman;serif"/>
          <w:b/>
          <w:i/>
          <w:color w:val="000000"/>
          <w:sz w:val="20"/>
        </w:rPr>
        <w:t>Adjusted EBITDA</w:t>
      </w:r>
      <w:r>
        <w:rPr>
          <w:color w:val="000000"/>
        </w:rPr>
        <w:t xml:space="preserve"> </w:t>
      </w:r>
      <w:r>
        <w:rPr>
          <w:rFonts w:ascii="Times New Roman;serif" w:hAnsi="Times New Roman;serif"/>
          <w:b w:val="false"/>
          <w:color w:val="000000"/>
          <w:sz w:val="20"/>
        </w:rPr>
        <w:t xml:space="preserve">is calculated as net loss, adjusted to exclude: </w:t>
      </w:r>
    </w:p>
    <w:p>
      <w:pPr>
        <w:pStyle w:val="TextBody"/>
        <w:bidi w:val="0"/>
        <w:spacing w:lineRule="auto" w:line="240" w:before="120" w:after="283"/>
        <w:ind w:left="0" w:right="0" w:hanging="432"/>
        <w:jc w:val="both"/>
        <w:rPr/>
      </w:pPr>
      <w:r>
        <w:rPr>
          <w:color w:val="000000"/>
        </w:rPr>
        <w:t>•</w:t>
      </w:r>
      <w:r>
        <w:rPr>
          <w:rFonts w:ascii="Times New Roman;serif" w:hAnsi="Times New Roman;serif"/>
          <w:b w:val="false"/>
          <w:color w:val="000000"/>
          <w:sz w:val="20"/>
        </w:rPr>
        <w:t>Fair value change - Earn-out rights and Class C Shares.</w:t>
      </w:r>
    </w:p>
    <w:p>
      <w:pPr>
        <w:pStyle w:val="TextBody"/>
        <w:bidi w:val="0"/>
        <w:spacing w:lineRule="auto" w:line="240" w:before="120" w:after="283"/>
        <w:ind w:left="0" w:right="0" w:hanging="432"/>
        <w:jc w:val="both"/>
        <w:rPr/>
      </w:pPr>
      <w:r>
        <w:rPr>
          <w:color w:val="000000"/>
        </w:rPr>
        <w:t>•</w:t>
      </w:r>
      <w:r>
        <w:rPr>
          <w:rFonts w:ascii="Times New Roman;serif" w:hAnsi="Times New Roman;serif"/>
          <w:b w:val="false"/>
          <w:color w:val="000000"/>
          <w:sz w:val="20"/>
        </w:rPr>
        <w:t>Finance expense.</w:t>
      </w:r>
    </w:p>
    <w:p>
      <w:pPr>
        <w:pStyle w:val="TextBody"/>
        <w:bidi w:val="0"/>
        <w:spacing w:lineRule="auto" w:line="240" w:before="120" w:after="283"/>
        <w:ind w:left="0" w:right="0" w:hanging="432"/>
        <w:jc w:val="both"/>
        <w:rPr/>
      </w:pPr>
      <w:r>
        <w:rPr>
          <w:color w:val="000000"/>
        </w:rPr>
        <w:t>•</w:t>
      </w:r>
      <w:r>
        <w:rPr>
          <w:rFonts w:ascii="Times New Roman;serif" w:hAnsi="Times New Roman;serif"/>
          <w:b w:val="false"/>
          <w:color w:val="000000"/>
          <w:sz w:val="20"/>
        </w:rPr>
        <w:t>Finance income.</w:t>
      </w:r>
    </w:p>
    <w:p>
      <w:pPr>
        <w:pStyle w:val="TextBody"/>
        <w:bidi w:val="0"/>
        <w:spacing w:lineRule="auto" w:line="240" w:before="120" w:after="283"/>
        <w:ind w:left="0" w:right="0" w:hanging="432"/>
        <w:jc w:val="both"/>
        <w:rPr/>
      </w:pPr>
      <w:r>
        <w:rPr>
          <w:color w:val="000000"/>
        </w:rPr>
        <w:t>•</w:t>
      </w:r>
      <w:r>
        <w:rPr>
          <w:rFonts w:ascii="Times New Roman;serif" w:hAnsi="Times New Roman;serif"/>
          <w:b w:val="false"/>
          <w:color w:val="000000"/>
          <w:sz w:val="20"/>
        </w:rPr>
        <w:t>Foreign exchange gains (losses) on financial activities, net.</w:t>
      </w:r>
    </w:p>
    <w:p>
      <w:pPr>
        <w:pStyle w:val="TextBody"/>
        <w:bidi w:val="0"/>
        <w:spacing w:lineRule="auto" w:line="240" w:before="120" w:after="283"/>
        <w:ind w:left="0" w:right="0" w:hanging="432"/>
        <w:jc w:val="both"/>
        <w:rPr/>
      </w:pPr>
      <w:r>
        <w:rPr>
          <w:color w:val="000000"/>
        </w:rPr>
        <w:t>•</w:t>
      </w:r>
      <w:r>
        <w:rPr>
          <w:rFonts w:ascii="Times New Roman;serif" w:hAnsi="Times New Roman;serif"/>
          <w:b w:val="false"/>
          <w:color w:val="000000"/>
          <w:sz w:val="20"/>
        </w:rPr>
        <w:t>Income tax benefit (expense).</w:t>
      </w:r>
    </w:p>
    <w:p>
      <w:pPr>
        <w:pStyle w:val="TextBody"/>
        <w:bidi w:val="0"/>
        <w:spacing w:lineRule="auto" w:line="240" w:before="120" w:after="283"/>
        <w:ind w:left="0" w:right="0" w:hanging="432"/>
        <w:jc w:val="both"/>
        <w:rPr/>
      </w:pPr>
      <w:r>
        <w:rPr>
          <w:color w:val="000000"/>
        </w:rPr>
        <w:t>•</w:t>
      </w:r>
      <w:r>
        <w:rPr>
          <w:rFonts w:ascii="Times New Roman;serif" w:hAnsi="Times New Roman;serif"/>
          <w:b w:val="false"/>
          <w:color w:val="000000"/>
          <w:sz w:val="20"/>
        </w:rPr>
        <w:t>Depreciation and amortization</w:t>
      </w:r>
      <w:r>
        <w:rPr>
          <w:rFonts w:ascii="Times New Roman;serif" w:hAnsi="Times New Roman;serif"/>
          <w:b w:val="false"/>
          <w:color w:val="000000"/>
          <w:sz w:val="13"/>
        </w:rPr>
        <w:t>1.</w:t>
      </w:r>
    </w:p>
    <w:p>
      <w:pPr>
        <w:pStyle w:val="TextBody"/>
        <w:bidi w:val="0"/>
        <w:spacing w:lineRule="auto" w:line="240" w:before="120" w:after="283"/>
        <w:ind w:left="0" w:right="0" w:hanging="432"/>
        <w:jc w:val="both"/>
        <w:rPr/>
      </w:pPr>
      <w:r>
        <w:rPr>
          <w:color w:val="000000"/>
        </w:rPr>
        <w:t>•</w:t>
      </w:r>
      <w:r>
        <w:rPr>
          <w:rFonts w:ascii="Times New Roman;serif" w:hAnsi="Times New Roman;serif"/>
          <w:b w:val="false"/>
          <w:color w:val="000000"/>
          <w:sz w:val="20"/>
        </w:rPr>
        <w:t>Impairment of property, plant and equipment, vehicles under operating leases, and intangible assets, net of reversals.</w:t>
      </w:r>
    </w:p>
    <w:p>
      <w:pPr>
        <w:pStyle w:val="TextBody"/>
        <w:bidi w:val="0"/>
        <w:spacing w:lineRule="auto" w:line="240" w:before="120" w:after="283"/>
        <w:ind w:left="0" w:right="0" w:hanging="432"/>
        <w:jc w:val="both"/>
        <w:rPr/>
      </w:pPr>
      <w:r>
        <w:rPr>
          <w:color w:val="000000"/>
        </w:rPr>
        <w:t>•</w:t>
      </w:r>
      <w:r>
        <w:rPr>
          <w:rFonts w:ascii="Times New Roman;serif" w:hAnsi="Times New Roman;serif"/>
          <w:b w:val="false"/>
          <w:color w:val="000000"/>
          <w:sz w:val="20"/>
        </w:rPr>
        <w:t>Gains (losses) on disposals of investments</w:t>
      </w:r>
      <w:r>
        <w:rPr>
          <w:rFonts w:ascii="Times New Roman;serif" w:hAnsi="Times New Roman;serif"/>
          <w:b w:val="false"/>
          <w:color w:val="000000"/>
          <w:sz w:val="13"/>
        </w:rPr>
        <w:t>2</w:t>
      </w:r>
      <w:r>
        <w:rPr>
          <w:rFonts w:ascii="Times New Roman;serif" w:hAnsi="Times New Roman;serif"/>
          <w:b w:val="false"/>
          <w:color w:val="000000"/>
          <w:sz w:val="20"/>
        </w:rPr>
        <w:t>.</w:t>
      </w:r>
    </w:p>
    <w:p>
      <w:pPr>
        <w:pStyle w:val="TextBody"/>
        <w:bidi w:val="0"/>
        <w:spacing w:lineRule="auto" w:line="240" w:before="120" w:after="283"/>
        <w:ind w:left="0" w:right="0" w:hanging="432"/>
        <w:jc w:val="both"/>
        <w:rPr/>
      </w:pPr>
      <w:r>
        <w:rPr>
          <w:color w:val="000000"/>
        </w:rPr>
        <w:t>•</w:t>
      </w:r>
      <w:r>
        <w:rPr>
          <w:rFonts w:ascii="Times New Roman;serif" w:hAnsi="Times New Roman;serif"/>
          <w:b w:val="false"/>
          <w:color w:val="000000"/>
          <w:sz w:val="20"/>
        </w:rPr>
        <w:t>Restructuring costs</w:t>
      </w:r>
      <w:r>
        <w:rPr>
          <w:rFonts w:ascii="Times New Roman;serif" w:hAnsi="Times New Roman;serif"/>
          <w:b w:val="false"/>
          <w:color w:val="000000"/>
          <w:sz w:val="13"/>
        </w:rPr>
        <w:t>3</w:t>
      </w:r>
      <w:r>
        <w:rPr>
          <w:rFonts w:ascii="Times New Roman;serif" w:hAnsi="Times New Roman;serif"/>
          <w:b w:val="false"/>
          <w:color w:val="000000"/>
          <w:sz w:val="20"/>
        </w:rPr>
        <w:t>; and</w:t>
      </w:r>
    </w:p>
    <w:p>
      <w:pPr>
        <w:pStyle w:val="TextBody"/>
        <w:bidi w:val="0"/>
        <w:spacing w:lineRule="auto" w:line="240" w:before="120" w:after="283"/>
        <w:ind w:left="0" w:right="0" w:hanging="432"/>
        <w:jc w:val="both"/>
        <w:rPr/>
      </w:pPr>
      <w:r>
        <w:rPr>
          <w:color w:val="000000"/>
        </w:rPr>
        <w:t>•</w:t>
      </w:r>
      <w:r>
        <w:rPr>
          <w:rFonts w:ascii="Times New Roman;serif" w:hAnsi="Times New Roman;serif"/>
          <w:b w:val="false"/>
          <w:color w:val="000000"/>
          <w:sz w:val="20"/>
        </w:rPr>
        <w:t>Unusual other operating income and expenses that are considered rare or discrete events and are infrequent in nature.</w:t>
      </w:r>
    </w:p>
    <w:p>
      <w:pPr>
        <w:pStyle w:val="TextBody"/>
        <w:bidi w:val="0"/>
        <w:spacing w:lineRule="auto" w:line="240" w:before="12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1 - Depreciation and amortization include (a) depreciation and amortization capitalized into the carrying value of inventory sold (i.e., part of inventory costs) and (b) depreciation and amortization expense. </w:t>
      </w:r>
    </w:p>
    <w:p>
      <w:pPr>
        <w:pStyle w:val="TextBody"/>
        <w:bidi w:val="0"/>
        <w:spacing w:lineRule="auto" w:line="240" w:before="12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2 - Disposals of investments include disposals, by sales or otherwise, of: (a) debt or equity financial instruments issued by another entity that are held as investments, (b) intangible assets, (c) property, plant, and equipment, and (d) groups of assets and liabilities representing disposal groups that were transferred together as part of individual transactions. </w:t>
      </w:r>
    </w:p>
    <w:p>
      <w:pPr>
        <w:pStyle w:val="TextBody"/>
        <w:bidi w:val="0"/>
        <w:spacing w:lineRule="auto" w:line="240" w:before="12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3 - Restructuring costs include expenses associated with programs that were planned and controlled by management and materially changed either (a) the scope of a business undertaken by the Group or (b) the manner in which business is conducted including actions undertaken in response to significant regulatory events.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Management reviews this measure and believes it provides meaningful insight into the core business's underlying operating performance and trends, before the effect of any adjusting items.</w:t>
      </w:r>
    </w:p>
    <w:p>
      <w:pPr>
        <w:pStyle w:val="TextBody"/>
        <w:bidi w:val="0"/>
        <w:spacing w:lineRule="auto" w:line="240" w:before="120" w:after="283"/>
        <w:jc w:val="left"/>
        <w:rPr>
          <w:rFonts w:ascii="Times New Roman;serif" w:hAnsi="Times New Roman;serif"/>
          <w:b/>
          <w:i/>
          <w:color w:val="000000"/>
          <w:sz w:val="20"/>
        </w:rPr>
      </w:pPr>
      <w:r>
        <w:rPr>
          <w:rFonts w:ascii="Times New Roman;serif" w:hAnsi="Times New Roman;serif"/>
          <w:b/>
          <w:i/>
          <w:color w:val="000000"/>
          <w:sz w:val="20"/>
        </w:rPr>
        <w:t>Free Cash Flow</w:t>
      </w:r>
    </w:p>
    <w:p>
      <w:pPr>
        <w:pStyle w:val="TextBody"/>
        <w:bidi w:val="0"/>
        <w:spacing w:lineRule="auto" w:line="240" w:before="120" w:after="283"/>
        <w:jc w:val="both"/>
        <w:rPr/>
      </w:pPr>
      <w:r>
        <w:rPr>
          <w:rFonts w:ascii="Times New Roman;serif" w:hAnsi="Times New Roman;serif"/>
          <w:b w:val="false"/>
          <w:color w:val="000000"/>
          <w:sz w:val="20"/>
        </w:rPr>
        <w:t xml:space="preserve">Free Cash Flow is calculated as cash used for operating activities </w:t>
      </w:r>
      <w:r>
        <w:rPr>
          <w:rFonts w:ascii="Times New Roman;serif" w:hAnsi="Times New Roman;serif"/>
          <w:b w:val="false"/>
          <w:i/>
          <w:color w:val="000000"/>
          <w:sz w:val="20"/>
        </w:rPr>
        <w:t>plus</w:t>
      </w:r>
      <w:r>
        <w:rPr>
          <w:color w:val="000000"/>
        </w:rPr>
        <w:t xml:space="preserve"> </w:t>
      </w:r>
      <w:r>
        <w:rPr>
          <w:rFonts w:ascii="Times New Roman;serif" w:hAnsi="Times New Roman;serif"/>
          <w:b w:val="false"/>
          <w:color w:val="000000"/>
          <w:sz w:val="20"/>
        </w:rPr>
        <w:t>cash used to acquire property, plant and equipment and intangible assets. This measure is reviewed by management and management considers it to be a relevant measure for assessing cash generated by operating activities that are available to repay debts and spend on other strategic initiatives.</w:t>
      </w:r>
    </w:p>
    <w:p>
      <w:pPr>
        <w:pStyle w:val="TextBody"/>
        <w:bidi w:val="0"/>
        <w:spacing w:lineRule="auto" w:line="240" w:before="120" w:after="283"/>
        <w:jc w:val="left"/>
        <w:rPr>
          <w:rFonts w:ascii="Times New Roman;serif" w:hAnsi="Times New Roman;serif"/>
          <w:b/>
          <w:i/>
          <w:color w:val="000000"/>
          <w:sz w:val="20"/>
        </w:rPr>
      </w:pPr>
      <w:r>
        <w:rPr>
          <w:rFonts w:ascii="Times New Roman;serif" w:hAnsi="Times New Roman;serif"/>
          <w:b/>
          <w:i/>
          <w:color w:val="000000"/>
          <w:sz w:val="20"/>
        </w:rPr>
        <w:t>Adjusted Gross Profit / (Loss) and Adjusted Gross Margin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Adjusted Gross Profit / (Loss) is calculated as gross loss, adjusted to exclude: (i) expenses arising from the impairment of property, plant and equipment, vehicles under operating leases, and intangible assets; and (ii) unusual other items of income or expense that are considered rare or discrete events and are infrequent in nature. Adjusted Gross Margin is calculated as Adjusted Gross Profit / (Loss) divided by revenue. These measures are reviewed by management and management considers them to be useful measures for assessing Polestar's historical operating performance as they facilitate comparison between periods by excluding the non-cash impairment expense, the measurement of which includes significant assumptions related to future periods.</w:t>
      </w:r>
    </w:p>
    <w:p>
      <w:pPr>
        <w:pStyle w:val="TextBody"/>
        <w:bidi w:val="0"/>
        <w:spacing w:before="120" w:after="283"/>
        <w:ind w:left="0" w:right="0" w:hanging="360"/>
        <w:jc w:val="both"/>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Reconciliation of GAAP and Non-GAAP Measures</w:t>
      </w:r>
    </w:p>
    <w:tbl>
      <w:tblPr>
        <w:tblW w:w="7934" w:type="dxa"/>
        <w:jc w:val="left"/>
        <w:tblInd w:w="0" w:type="dxa"/>
        <w:tblLayout w:type="fixed"/>
        <w:tblCellMar>
          <w:top w:w="28" w:type="dxa"/>
          <w:left w:w="28" w:type="dxa"/>
          <w:bottom w:w="28" w:type="dxa"/>
          <w:right w:w="28" w:type="dxa"/>
        </w:tblCellMar>
      </w:tblPr>
      <w:tblGrid>
        <w:gridCol w:w="1786"/>
        <w:gridCol w:w="1570"/>
        <w:gridCol w:w="1579"/>
        <w:gridCol w:w="466"/>
        <w:gridCol w:w="466"/>
        <w:gridCol w:w="466"/>
        <w:gridCol w:w="466"/>
        <w:gridCol w:w="466"/>
        <w:gridCol w:w="669"/>
      </w:tblGrid>
      <w:tr>
        <w:trPr/>
        <w:tc>
          <w:tcPr>
            <w:tcW w:w="1786"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6"/>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16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935"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Adjusted EBITDA</w:t>
            </w:r>
          </w:p>
        </w:tc>
        <w:tc>
          <w:tcPr>
            <w:tcW w:w="139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39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(842,448)</w:t>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(1,193,079)</w:t>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r>
      <w:tr>
        <w:trPr/>
        <w:tc>
          <w:tcPr>
            <w:tcW w:w="4935"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Fair value changes on Earn-out rights and Class C shares</w:t>
            </w:r>
          </w:p>
        </w:tc>
        <w:tc>
          <w:tcPr>
            <w:tcW w:w="1398"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(6,374)</w:t>
            </w:r>
          </w:p>
        </w:tc>
        <w:tc>
          <w:tcPr>
            <w:tcW w:w="1601"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(15,813)</w:t>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Finance expense</w:t>
            </w:r>
          </w:p>
        </w:tc>
        <w:tc>
          <w:tcPr>
            <w:tcW w:w="139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205,162</w:t>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185,319</w:t>
            </w:r>
          </w:p>
        </w:tc>
      </w:tr>
      <w:tr>
        <w:trPr/>
        <w:tc>
          <w:tcPr>
            <w:tcW w:w="4935"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pPr>
            <w:r>
              <w:rPr>
                <w:rFonts w:ascii="Times New Roman;serif" w:hAnsi="Times New Roman;serif"/>
                <w:b w:val="false"/>
                <w:color w:val="000000"/>
                <w:sz w:val="20"/>
              </w:rPr>
              <w:t>Finance income</w:t>
            </w:r>
            <w:r>
              <w:rPr>
                <w:rFonts w:ascii="Times New Roman;serif" w:hAnsi="Times New Roman;serif"/>
                <w:b w:val="false"/>
                <w:color w:val="000000"/>
                <w:sz w:val="13"/>
              </w:rPr>
              <w:t>1</w:t>
            </w:r>
          </w:p>
        </w:tc>
        <w:tc>
          <w:tcPr>
            <w:tcW w:w="1398"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(5,256)</w:t>
            </w:r>
          </w:p>
        </w:tc>
        <w:tc>
          <w:tcPr>
            <w:tcW w:w="1601"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(3,415)</w:t>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pPr>
            <w:r>
              <w:rPr>
                <w:rFonts w:ascii="Times New Roman;serif" w:hAnsi="Times New Roman;serif"/>
                <w:b w:val="false"/>
                <w:color w:val="000000"/>
                <w:sz w:val="20"/>
              </w:rPr>
              <w:t>Foreign exchange losses (gains) on financial activities, net</w:t>
            </w:r>
            <w:r>
              <w:rPr>
                <w:rFonts w:ascii="Times New Roman;serif" w:hAnsi="Times New Roman;serif"/>
                <w:b w:val="false"/>
                <w:color w:val="000000"/>
                <w:sz w:val="13"/>
              </w:rPr>
              <w:t>1</w:t>
            </w:r>
          </w:p>
        </w:tc>
        <w:tc>
          <w:tcPr>
            <w:tcW w:w="139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14,795</w:t>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(49,382)</w:t>
            </w:r>
          </w:p>
        </w:tc>
      </w:tr>
      <w:tr>
        <w:trPr/>
        <w:tc>
          <w:tcPr>
            <w:tcW w:w="4935"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398"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5,255</w:t>
            </w:r>
          </w:p>
        </w:tc>
        <w:tc>
          <w:tcPr>
            <w:tcW w:w="1601"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(43,485)</w:t>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39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62,431</w:t>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75,772</w:t>
            </w:r>
          </w:p>
        </w:tc>
      </w:tr>
      <w:tr>
        <w:trPr/>
        <w:tc>
          <w:tcPr>
            <w:tcW w:w="4935"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Impairment (reversal) expense, net</w:t>
            </w:r>
          </w:p>
        </w:tc>
        <w:tc>
          <w:tcPr>
            <w:tcW w:w="1398"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(1,154)</w:t>
            </w:r>
          </w:p>
        </w:tc>
        <w:tc>
          <w:tcPr>
            <w:tcW w:w="1601"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723,524</w:t>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Losses on disposals of investments</w:t>
            </w:r>
          </w:p>
        </w:tc>
        <w:tc>
          <w:tcPr>
            <w:tcW w:w="139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1,904</w:t>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4,629</w:t>
            </w:r>
          </w:p>
        </w:tc>
      </w:tr>
      <w:tr>
        <w:trPr/>
        <w:tc>
          <w:tcPr>
            <w:tcW w:w="4935"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1398"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44,247</w:t>
            </w:r>
          </w:p>
        </w:tc>
        <w:tc>
          <w:tcPr>
            <w:tcW w:w="1601"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13,629</w:t>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Adjusted EBITDA</w:t>
            </w:r>
          </w:p>
        </w:tc>
        <w:tc>
          <w:tcPr>
            <w:tcW w:w="139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(521,438)</w:t>
            </w:r>
          </w:p>
        </w:tc>
        <w:tc>
          <w:tcPr>
            <w:tcW w:w="160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(302,301)</w:t>
            </w:r>
          </w:p>
        </w:tc>
      </w:tr>
    </w:tbl>
    <w:p>
      <w:pPr>
        <w:pStyle w:val="TextBody"/>
        <w:bidi w:val="0"/>
        <w:spacing w:lineRule="auto" w:line="240" w:before="120" w:after="120"/>
        <w:jc w:val="both"/>
        <w:rPr/>
      </w:pPr>
      <w:r>
        <w:rPr>
          <w:rFonts w:ascii="Times New Roman;serif" w:hAnsi="Times New Roman;serif"/>
          <w:b w:val="false"/>
          <w:color w:val="000000"/>
          <w:sz w:val="16"/>
        </w:rPr>
        <w:t xml:space="preserve">1 - The </w:t>
      </w:r>
      <w:r>
        <w:rPr>
          <w:rFonts w:ascii="Times New Roman;serif" w:hAnsi="Times New Roman;serif"/>
          <w:b w:val="false"/>
          <w:i/>
          <w:color w:val="000000"/>
          <w:sz w:val="16"/>
        </w:rPr>
        <w:t>Foreign exchange (losses) gains on operating activities, net</w:t>
      </w:r>
      <w:r>
        <w:rPr>
          <w:color w:val="000000"/>
        </w:rPr>
        <w:t xml:space="preserve"> </w:t>
      </w:r>
      <w:r>
        <w:rPr>
          <w:rFonts w:ascii="Times New Roman;serif" w:hAnsi="Times New Roman;serif"/>
          <w:b w:val="false"/>
          <w:color w:val="000000"/>
          <w:sz w:val="16"/>
        </w:rPr>
        <w:t xml:space="preserve">were previously presented under </w:t>
      </w:r>
      <w:r>
        <w:rPr>
          <w:rFonts w:ascii="Times New Roman;serif" w:hAnsi="Times New Roman;serif"/>
          <w:b w:val="false"/>
          <w:i/>
          <w:color w:val="000000"/>
          <w:sz w:val="16"/>
        </w:rPr>
        <w:t>Finance income</w:t>
      </w:r>
      <w:r>
        <w:rPr>
          <w:color w:val="000000"/>
        </w:rPr>
        <w:t xml:space="preserve"> </w:t>
      </w:r>
      <w:r>
        <w:rPr>
          <w:rFonts w:ascii="Times New Roman;serif" w:hAnsi="Times New Roman;serif"/>
          <w:b w:val="false"/>
          <w:color w:val="000000"/>
          <w:sz w:val="16"/>
        </w:rPr>
        <w:t>in the six months ended June 30, 2025. Refer to Volu</w:t>
      </w:r>
      <w:r>
        <w:rPr>
          <w:rFonts w:ascii="Times New Roman;serif" w:hAnsi="Times New Roman;serif"/>
          <w:b w:val="false"/>
          <w:i/>
          <w:color w:val="000000"/>
          <w:sz w:val="16"/>
        </w:rPr>
        <w:t>ntary re-presentation from previous year in Note 2 - Material accounting policies and judgements)</w:t>
      </w:r>
      <w:r>
        <w:rPr>
          <w:color w:val="000000"/>
        </w:rPr>
        <w:t xml:space="preserve"> </w:t>
      </w:r>
      <w:r>
        <w:rPr>
          <w:rFonts w:ascii="Times New Roman;serif" w:hAnsi="Times New Roman;serif"/>
          <w:b w:val="false"/>
          <w:color w:val="000000"/>
          <w:sz w:val="16"/>
        </w:rPr>
        <w:t>in the</w:t>
      </w:r>
      <w:r>
        <w:rPr>
          <w:color w:val="000000"/>
        </w:rPr>
        <w:t xml:space="preserve"> </w:t>
      </w:r>
      <w:r>
        <w:rPr>
          <w:rFonts w:ascii="Times New Roman;serif" w:hAnsi="Times New Roman;serif"/>
          <w:b w:val="false"/>
          <w:color w:val="000000"/>
          <w:sz w:val="16"/>
        </w:rPr>
        <w:t>Unaudited Condensed Consolidated Interim Financial Statements for further information.</w:t>
      </w:r>
    </w:p>
    <w:p>
      <w:pPr>
        <w:pStyle w:val="TextBody"/>
        <w:bidi w:val="0"/>
        <w:spacing w:before="0" w:after="2"/>
        <w:jc w:val="both"/>
        <w:rPr/>
      </w:pPr>
      <w:r>
        <w:rPr/>
      </w:r>
    </w:p>
    <w:tbl>
      <w:tblPr>
        <w:tblW w:w="6688" w:type="dxa"/>
        <w:jc w:val="left"/>
        <w:tblInd w:w="0" w:type="dxa"/>
        <w:tblLayout w:type="fixed"/>
        <w:tblCellMar>
          <w:top w:w="28" w:type="dxa"/>
          <w:left w:w="28" w:type="dxa"/>
          <w:bottom w:w="28" w:type="dxa"/>
          <w:right w:w="28" w:type="dxa"/>
        </w:tblCellMar>
      </w:tblPr>
      <w:tblGrid>
        <w:gridCol w:w="1338"/>
        <w:gridCol w:w="1173"/>
        <w:gridCol w:w="1178"/>
        <w:gridCol w:w="466"/>
        <w:gridCol w:w="466"/>
        <w:gridCol w:w="466"/>
        <w:gridCol w:w="466"/>
        <w:gridCol w:w="466"/>
        <w:gridCol w:w="669"/>
      </w:tblGrid>
      <w:tr>
        <w:trPr/>
        <w:tc>
          <w:tcPr>
            <w:tcW w:w="1338"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6"/>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16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689"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Free Cash Flow</w:t>
            </w:r>
          </w:p>
        </w:tc>
        <w:tc>
          <w:tcPr>
            <w:tcW w:w="139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Net cash used for operating activities</w:t>
            </w:r>
          </w:p>
        </w:tc>
        <w:tc>
          <w:tcPr>
            <w:tcW w:w="139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(849,906)</w:t>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(497,652)</w:t>
            </w:r>
          </w:p>
        </w:tc>
      </w:tr>
      <w:tr>
        <w:trPr/>
        <w:tc>
          <w:tcPr>
            <w:tcW w:w="3689"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Additions to property, plant, and equipment</w:t>
            </w:r>
          </w:p>
        </w:tc>
        <w:tc>
          <w:tcPr>
            <w:tcW w:w="1398"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(66,358)</w:t>
            </w:r>
          </w:p>
        </w:tc>
        <w:tc>
          <w:tcPr>
            <w:tcW w:w="1601"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(88,032)</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Additions to intangible assets</w:t>
            </w:r>
          </w:p>
        </w:tc>
        <w:tc>
          <w:tcPr>
            <w:tcW w:w="139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(145,216)</w:t>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(201,581)</w:t>
            </w:r>
          </w:p>
        </w:tc>
      </w:tr>
      <w:tr>
        <w:trPr/>
        <w:tc>
          <w:tcPr>
            <w:tcW w:w="3689"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Free Cash Flow</w:t>
            </w:r>
          </w:p>
        </w:tc>
        <w:tc>
          <w:tcPr>
            <w:tcW w:w="1398"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(1,061,480)</w:t>
            </w:r>
          </w:p>
        </w:tc>
        <w:tc>
          <w:tcPr>
            <w:tcW w:w="1601"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(787,265)</w:t>
            </w:r>
          </w:p>
        </w:tc>
      </w:tr>
    </w:tbl>
    <w:p>
      <w:pPr>
        <w:pStyle w:val="TextBody"/>
        <w:bidi w:val="0"/>
        <w:spacing w:before="120" w:after="283"/>
        <w:jc w:val="left"/>
        <w:rPr/>
      </w:pPr>
      <w:r>
        <w:rPr/>
      </w:r>
    </w:p>
    <w:tbl>
      <w:tblPr>
        <w:tblW w:w="5893" w:type="dxa"/>
        <w:jc w:val="left"/>
        <w:tblInd w:w="0" w:type="dxa"/>
        <w:tblLayout w:type="fixed"/>
        <w:tblCellMar>
          <w:top w:w="28" w:type="dxa"/>
          <w:left w:w="28" w:type="dxa"/>
          <w:bottom w:w="28" w:type="dxa"/>
          <w:right w:w="28" w:type="dxa"/>
        </w:tblCellMar>
      </w:tblPr>
      <w:tblGrid>
        <w:gridCol w:w="1049"/>
        <w:gridCol w:w="919"/>
        <w:gridCol w:w="926"/>
        <w:gridCol w:w="466"/>
        <w:gridCol w:w="466"/>
        <w:gridCol w:w="466"/>
        <w:gridCol w:w="466"/>
        <w:gridCol w:w="466"/>
        <w:gridCol w:w="669"/>
      </w:tblGrid>
      <w:tr>
        <w:trPr/>
        <w:tc>
          <w:tcPr>
            <w:tcW w:w="104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6"/>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16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9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Adjusted Gross Profit / (Loss)</w:t>
            </w:r>
          </w:p>
        </w:tc>
        <w:tc>
          <w:tcPr>
            <w:tcW w:w="139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Gross Loss</w:t>
            </w:r>
          </w:p>
        </w:tc>
        <w:tc>
          <w:tcPr>
            <w:tcW w:w="139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(114,810)</w:t>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(703,124)</w:t>
            </w:r>
          </w:p>
        </w:tc>
      </w:tr>
      <w:tr>
        <w:trPr/>
        <w:tc>
          <w:tcPr>
            <w:tcW w:w="289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Impairment (reversal) expense, net</w:t>
            </w:r>
          </w:p>
        </w:tc>
        <w:tc>
          <w:tcPr>
            <w:tcW w:w="1398"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(1,154)</w:t>
            </w:r>
          </w:p>
        </w:tc>
        <w:tc>
          <w:tcPr>
            <w:tcW w:w="1601"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723,524</w:t>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Adjusted Gross Profit / (Loss)</w:t>
            </w:r>
          </w:p>
        </w:tc>
        <w:tc>
          <w:tcPr>
            <w:tcW w:w="139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(115,964)</w:t>
            </w:r>
          </w:p>
        </w:tc>
        <w:tc>
          <w:tcPr>
            <w:tcW w:w="160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20,400</w:t>
            </w:r>
          </w:p>
        </w:tc>
      </w:tr>
    </w:tbl>
    <w:p>
      <w:pPr>
        <w:pStyle w:val="TextBody"/>
        <w:bidi w:val="0"/>
        <w:spacing w:before="120" w:after="283"/>
        <w:jc w:val="left"/>
        <w:rPr/>
      </w:pPr>
      <w:r>
        <w:rPr/>
      </w:r>
    </w:p>
    <w:tbl>
      <w:tblPr>
        <w:tblW w:w="5638" w:type="dxa"/>
        <w:jc w:val="left"/>
        <w:tblInd w:w="0" w:type="dxa"/>
        <w:tblLayout w:type="fixed"/>
        <w:tblCellMar>
          <w:top w:w="28" w:type="dxa"/>
          <w:left w:w="28" w:type="dxa"/>
          <w:bottom w:w="28" w:type="dxa"/>
          <w:right w:w="28" w:type="dxa"/>
        </w:tblCellMar>
      </w:tblPr>
      <w:tblGrid>
        <w:gridCol w:w="956"/>
        <w:gridCol w:w="838"/>
        <w:gridCol w:w="845"/>
        <w:gridCol w:w="466"/>
        <w:gridCol w:w="466"/>
        <w:gridCol w:w="466"/>
        <w:gridCol w:w="466"/>
        <w:gridCol w:w="466"/>
        <w:gridCol w:w="669"/>
      </w:tblGrid>
      <w:tr>
        <w:trPr/>
        <w:tc>
          <w:tcPr>
            <w:tcW w:w="95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6"/>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16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639"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Adjusted Gross Margin</w:t>
            </w:r>
          </w:p>
        </w:tc>
        <w:tc>
          <w:tcPr>
            <w:tcW w:w="139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Adjusted Gross (Loss) Profit (a)</w:t>
            </w:r>
          </w:p>
        </w:tc>
        <w:tc>
          <w:tcPr>
            <w:tcW w:w="139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(115,964)</w:t>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20,400</w:t>
            </w:r>
          </w:p>
        </w:tc>
      </w:tr>
      <w:tr>
        <w:trPr/>
        <w:tc>
          <w:tcPr>
            <w:tcW w:w="2639"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Revenue (b)</w:t>
            </w:r>
          </w:p>
        </w:tc>
        <w:tc>
          <w:tcPr>
            <w:tcW w:w="1398"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1,360,091</w:t>
            </w:r>
          </w:p>
        </w:tc>
        <w:tc>
          <w:tcPr>
            <w:tcW w:w="1601"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1,422,605</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Adjusted Gross Margin (a/b)</w:t>
            </w:r>
          </w:p>
        </w:tc>
        <w:tc>
          <w:tcPr>
            <w:tcW w:w="139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(8.5)%</w:t>
            </w:r>
          </w:p>
        </w:tc>
        <w:tc>
          <w:tcPr>
            <w:tcW w:w="160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1.4%</w:t>
            </w:r>
          </w:p>
        </w:tc>
      </w:tr>
    </w:tbl>
    <w:p>
      <w:pPr>
        <w:pStyle w:val="TextBody"/>
        <w:bidi w:val="0"/>
        <w:spacing w:before="0" w:after="2"/>
        <w:jc w:val="left"/>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ind w:left="0" w:right="0" w:hanging="360"/>
        <w:jc w:val="both"/>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77" w:after="283"/>
        <w:jc w:val="right"/>
        <w:rPr/>
      </w:pPr>
      <w:r>
        <w:rPr/>
      </w:r>
    </w:p>
    <w:p>
      <w:pPr>
        <w:pStyle w:val="TextBody"/>
        <w:bidi w:val="0"/>
        <w:spacing w:lineRule="auto" w:line="240" w:before="31" w:after="283"/>
        <w:jc w:val="center"/>
        <w:rPr>
          <w:rFonts w:ascii="Times New Roman;serif" w:hAnsi="Times New Roman;serif"/>
          <w:b/>
          <w:color w:val="000000"/>
          <w:sz w:val="20"/>
        </w:rPr>
      </w:pPr>
      <w:r>
        <w:rPr>
          <w:rFonts w:ascii="Times New Roman;serif" w:hAnsi="Times New Roman;serif"/>
          <w:b/>
          <w:color w:val="000000"/>
          <w:sz w:val="20"/>
        </w:rPr>
        <w:t>The Polestar Group</w:t>
      </w:r>
    </w:p>
    <w:p>
      <w:pPr>
        <w:pStyle w:val="TextBody"/>
        <w:bidi w:val="0"/>
        <w:spacing w:lineRule="auto" w:line="292" w:before="11" w:after="283"/>
        <w:jc w:val="center"/>
        <w:rPr>
          <w:rFonts w:ascii="Times New Roman;serif" w:hAnsi="Times New Roman;serif"/>
          <w:b/>
          <w:color w:val="000000"/>
          <w:sz w:val="20"/>
        </w:rPr>
      </w:pPr>
      <w:r>
        <w:rPr>
          <w:rFonts w:ascii="Times New Roman;serif" w:hAnsi="Times New Roman;serif"/>
          <w:b/>
          <w:color w:val="000000"/>
          <w:sz w:val="20"/>
        </w:rPr>
        <w:t>Unaudited Condensed Consolidated Interim Financial Statements as of June 30, 2026 and for</w:t>
      </w:r>
    </w:p>
    <w:p>
      <w:pPr>
        <w:pStyle w:val="TextBody"/>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the six months ended June 30, 2026 and 2025</w:t>
      </w:r>
    </w:p>
    <w:p>
      <w:pPr>
        <w:pStyle w:val="TextBody"/>
        <w:bidi w:val="0"/>
        <w:spacing w:before="1" w:after="283"/>
        <w:jc w:val="center"/>
        <w:rPr/>
      </w:pPr>
      <w:r>
        <w:rPr/>
      </w:r>
    </w:p>
    <w:p>
      <w:pPr>
        <w:pStyle w:val="TextBody"/>
        <w:bidi w:val="0"/>
        <w:spacing w:before="0" w:after="0"/>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60655"/>
                <wp:effectExtent l="0" t="0" r="0" b="0"/>
                <wp:wrapNone/>
                <wp:docPr id="28" name="Frame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2"/>
                              <w:jc w:val="center"/>
                              <w:rPr>
                                <w:rFonts w:ascii="Times New Roman;serif" w:hAnsi="Times New Roman;serif"/>
                                <w:b w:val="false"/>
                                <w:color w:val="000000"/>
                                <w:sz w:val="22"/>
                              </w:rPr>
                            </w:pPr>
                            <w:r>
                              <w:rPr>
                                <w:rFonts w:ascii="Times New Roman;serif" w:hAnsi="Times New Roman;serif"/>
                                <w:b w:val="false"/>
                                <w:color w:val="000000"/>
                                <w:sz w:val="22"/>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
                        <w:jc w:val="center"/>
                        <w:rPr>
                          <w:rFonts w:ascii="Times New Roman;serif" w:hAnsi="Times New Roman;serif"/>
                          <w:b w:val="false"/>
                          <w:color w:val="000000"/>
                          <w:sz w:val="22"/>
                        </w:rPr>
                      </w:pPr>
                      <w:r>
                        <w:rPr>
                          <w:rFonts w:ascii="Times New Roman;serif" w:hAnsi="Times New Roman;serif"/>
                          <w:b w:val="false"/>
                          <w:color w:val="000000"/>
                          <w:sz w:val="22"/>
                        </w:rPr>
                        <w:t>F-1</w:t>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Polestar Automotive Holding UK PLC</w:t>
      </w:r>
    </w:p>
    <w:p>
      <w:pPr>
        <w:pStyle w:val="TextBody"/>
        <w:bidi w:val="0"/>
        <w:spacing w:before="0" w:after="2"/>
        <w:jc w:val="center"/>
        <w:rPr/>
      </w:pPr>
      <w:r>
        <w:rPr/>
      </w:r>
    </w:p>
    <w:p>
      <w:pPr>
        <w:pStyle w:val="TextBody"/>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INDEX TO THE UNAUDITED CONDENSED CONSOLIDATED INTERIM FINANCIAL STATEMENTS FOR THE SIX MONTHS ENDED JUNE 30, 2026 AND 2025</w: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3548"/>
        <w:gridCol w:w="3113"/>
        <w:gridCol w:w="3127"/>
        <w:gridCol w:w="121"/>
        <w:gridCol w:w="121"/>
        <w:gridCol w:w="175"/>
      </w:tblGrid>
      <w:tr>
        <w:trPr/>
        <w:tc>
          <w:tcPr>
            <w:tcW w:w="3548" w:type="dxa"/>
            <w:tcBorders/>
            <w:vAlign w:val="center"/>
          </w:tcPr>
          <w:p>
            <w:pPr>
              <w:pStyle w:val="TableContents"/>
              <w:bidi w:val="0"/>
              <w:spacing w:before="0" w:after="283"/>
              <w:jc w:val="left"/>
              <w:rPr>
                <w:sz w:val="4"/>
                <w:szCs w:val="4"/>
              </w:rPr>
            </w:pPr>
            <w:r>
              <w:rPr>
                <w:sz w:val="4"/>
                <w:szCs w:val="4"/>
              </w:rPr>
            </w:r>
          </w:p>
        </w:tc>
        <w:tc>
          <w:tcPr>
            <w:tcW w:w="3113" w:type="dxa"/>
            <w:tcBorders/>
            <w:vAlign w:val="center"/>
          </w:tcPr>
          <w:p>
            <w:pPr>
              <w:pStyle w:val="TableContents"/>
              <w:bidi w:val="0"/>
              <w:spacing w:before="0" w:after="283"/>
              <w:jc w:val="left"/>
              <w:rPr>
                <w:sz w:val="4"/>
                <w:szCs w:val="4"/>
              </w:rPr>
            </w:pPr>
            <w:r>
              <w:rPr>
                <w:sz w:val="4"/>
                <w:szCs w:val="4"/>
              </w:rPr>
            </w:r>
          </w:p>
        </w:tc>
        <w:tc>
          <w:tcPr>
            <w:tcW w:w="312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9788"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Unaudited Condensed Consolidated Statement of Loss and Comprehensive Loss for the six months ended June 30, 2026 and 2025</w:t>
            </w:r>
          </w:p>
        </w:tc>
        <w:tc>
          <w:tcPr>
            <w:tcW w:w="417" w:type="dxa"/>
            <w:gridSpan w:val="3"/>
            <w:tcBorders/>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F-3</w:t>
            </w:r>
          </w:p>
        </w:tc>
      </w:tr>
      <w:tr>
        <w:trPr/>
        <w:tc>
          <w:tcPr>
            <w:tcW w:w="9788"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Unaudited Condensed Consolidated Statement of Financial Position as of June 30, 2026 and December 31, 2025</w:t>
            </w:r>
          </w:p>
        </w:tc>
        <w:tc>
          <w:tcPr>
            <w:tcW w:w="417" w:type="dxa"/>
            <w:gridSpan w:val="3"/>
            <w:tcBorders/>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F-4</w:t>
            </w:r>
          </w:p>
        </w:tc>
      </w:tr>
      <w:tr>
        <w:trPr/>
        <w:tc>
          <w:tcPr>
            <w:tcW w:w="9788"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Unaudited Condensed Consolidated Statement of Changes in Equity for the six months ended June 30, 2026 and 2025 </w:t>
            </w:r>
          </w:p>
        </w:tc>
        <w:tc>
          <w:tcPr>
            <w:tcW w:w="417" w:type="dxa"/>
            <w:gridSpan w:val="3"/>
            <w:tcBorders/>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F-6</w:t>
            </w:r>
          </w:p>
        </w:tc>
      </w:tr>
      <w:tr>
        <w:trPr/>
        <w:tc>
          <w:tcPr>
            <w:tcW w:w="9788"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Unaudited Condensed Consolidated Statement of Cash Flows for the six months ended June 30, 2026 and 2025 </w:t>
            </w:r>
          </w:p>
        </w:tc>
        <w:tc>
          <w:tcPr>
            <w:tcW w:w="417" w:type="dxa"/>
            <w:gridSpan w:val="3"/>
            <w:tcBorders/>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F-7</w:t>
            </w:r>
          </w:p>
        </w:tc>
      </w:tr>
      <w:tr>
        <w:trPr/>
        <w:tc>
          <w:tcPr>
            <w:tcW w:w="9788"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Notes to the Unaudited Condensed Consolidated Interim Financial Statements </w:t>
            </w:r>
          </w:p>
        </w:tc>
        <w:tc>
          <w:tcPr>
            <w:tcW w:w="417" w:type="dxa"/>
            <w:gridSpan w:val="3"/>
            <w:tcBorders/>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F-8</w:t>
            </w:r>
          </w:p>
        </w:tc>
      </w:tr>
    </w:tbl>
    <w:p>
      <w:pPr>
        <w:pStyle w:val="TextBody"/>
        <w:bidi w:val="0"/>
        <w:spacing w:before="0" w:after="0"/>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60655"/>
                <wp:effectExtent l="0" t="0" r="0" b="0"/>
                <wp:wrapNone/>
                <wp:docPr id="29" name="Frame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2"/>
                              <w:jc w:val="center"/>
                              <w:rPr>
                                <w:rFonts w:ascii="Times New Roman;serif" w:hAnsi="Times New Roman;serif"/>
                                <w:b w:val="false"/>
                                <w:color w:val="000000"/>
                                <w:sz w:val="22"/>
                              </w:rPr>
                            </w:pPr>
                            <w:r>
                              <w:rPr>
                                <w:rFonts w:ascii="Times New Roman;serif" w:hAnsi="Times New Roman;serif"/>
                                <w:b w:val="false"/>
                                <w:color w:val="000000"/>
                                <w:sz w:val="22"/>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
                        <w:jc w:val="center"/>
                        <w:rPr>
                          <w:rFonts w:ascii="Times New Roman;serif" w:hAnsi="Times New Roman;serif"/>
                          <w:b w:val="false"/>
                          <w:color w:val="000000"/>
                          <w:sz w:val="22"/>
                        </w:rPr>
                      </w:pPr>
                      <w:r>
                        <w:rPr>
                          <w:rFonts w:ascii="Times New Roman;serif" w:hAnsi="Times New Roman;serif"/>
                          <w:b w:val="false"/>
                          <w:color w:val="000000"/>
                          <w:sz w:val="22"/>
                        </w:rPr>
                        <w:t>F-2</w:t>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Polestar Automotive Holding UK PLC</w:t>
      </w:r>
    </w:p>
    <w:p>
      <w:pPr>
        <w:pStyle w:val="TextBody"/>
        <w:bidi w:val="0"/>
        <w:spacing w:lineRule="auto" w:line="240" w:before="6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Unaudited Condensed Consolidated Statement of Loss and Comprehensive Loss </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of U.S. dollars except per share data and unless otherwise stated)</w:t>
      </w:r>
    </w:p>
    <w:p>
      <w:pPr>
        <w:pStyle w:val="TextBody"/>
        <w:bidi w:val="0"/>
        <w:spacing w:before="0" w:after="2"/>
        <w:jc w:val="center"/>
        <w:rPr/>
      </w:pPr>
      <w:r>
        <w:rPr/>
      </w:r>
    </w:p>
    <w:tbl>
      <w:tblPr>
        <w:tblW w:w="10205" w:type="dxa"/>
        <w:jc w:val="center"/>
        <w:tblInd w:w="0" w:type="dxa"/>
        <w:tblLayout w:type="fixed"/>
        <w:tblCellMar>
          <w:top w:w="28" w:type="dxa"/>
          <w:left w:w="28" w:type="dxa"/>
          <w:bottom w:w="28" w:type="dxa"/>
          <w:right w:w="28" w:type="dxa"/>
        </w:tblCellMar>
      </w:tblPr>
      <w:tblGrid>
        <w:gridCol w:w="2407"/>
        <w:gridCol w:w="2107"/>
        <w:gridCol w:w="2112"/>
        <w:gridCol w:w="165"/>
        <w:gridCol w:w="165"/>
        <w:gridCol w:w="166"/>
        <w:gridCol w:w="466"/>
        <w:gridCol w:w="463"/>
        <w:gridCol w:w="453"/>
        <w:gridCol w:w="559"/>
        <w:gridCol w:w="488"/>
        <w:gridCol w:w="654"/>
      </w:tblGrid>
      <w:tr>
        <w:trPr/>
        <w:tc>
          <w:tcPr>
            <w:tcW w:w="2407"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66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3" w:type="dxa"/>
            <w:gridSpan w:val="6"/>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Note</w:t>
            </w:r>
          </w:p>
        </w:tc>
        <w:tc>
          <w:tcPr>
            <w:tcW w:w="13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17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pPr>
            <w:r>
              <w:rPr>
                <w:rFonts w:ascii="Times New Roman;serif" w:hAnsi="Times New Roman;serif"/>
                <w:b/>
                <w:color w:val="000000"/>
                <w:sz w:val="20"/>
              </w:rPr>
              <w:t>2025</w:t>
            </w:r>
            <w:r>
              <w:rPr>
                <w:rFonts w:ascii="Times New Roman;serif" w:hAnsi="Times New Roman;serif"/>
                <w:b/>
                <w:color w:val="000000"/>
                <w:sz w:val="13"/>
              </w:rPr>
              <w:t>1</w:t>
            </w:r>
          </w:p>
        </w:tc>
      </w:tr>
      <w:tr>
        <w:trPr/>
        <w:tc>
          <w:tcPr>
            <w:tcW w:w="6626"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Revenue</w:t>
            </w:r>
          </w:p>
        </w:tc>
        <w:tc>
          <w:tcPr>
            <w:tcW w:w="49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138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1,360,091</w:t>
            </w:r>
          </w:p>
        </w:tc>
        <w:tc>
          <w:tcPr>
            <w:tcW w:w="170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1,422,605</w:t>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71" w:before="0" w:after="0"/>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138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(1,474,901)</w:t>
            </w:r>
          </w:p>
        </w:tc>
        <w:tc>
          <w:tcPr>
            <w:tcW w:w="1701"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(2,125,729)</w:t>
            </w:r>
          </w:p>
        </w:tc>
      </w:tr>
      <w:tr>
        <w:trPr/>
        <w:tc>
          <w:tcPr>
            <w:tcW w:w="6626"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Impairment reversal (expense), net</w:t>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1382"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1,154</w:t>
            </w:r>
          </w:p>
        </w:tc>
        <w:tc>
          <w:tcPr>
            <w:tcW w:w="1701"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(723,524)</w:t>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Other cost of sales</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138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(1,476,055)</w:t>
            </w:r>
          </w:p>
        </w:tc>
        <w:tc>
          <w:tcPr>
            <w:tcW w:w="1701"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(1,402,205)</w:t>
            </w:r>
          </w:p>
        </w:tc>
      </w:tr>
      <w:tr>
        <w:trPr/>
        <w:tc>
          <w:tcPr>
            <w:tcW w:w="6626"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18"/>
              </w:rPr>
            </w:pPr>
            <w:r>
              <w:rPr>
                <w:rFonts w:ascii="Times New Roman;serif" w:hAnsi="Times New Roman;serif"/>
                <w:b/>
                <w:color w:val="000000"/>
                <w:sz w:val="18"/>
              </w:rPr>
              <w:t>Gross loss</w:t>
            </w:r>
          </w:p>
        </w:tc>
        <w:tc>
          <w:tcPr>
            <w:tcW w:w="4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(114,810)</w:t>
            </w:r>
          </w:p>
        </w:tc>
        <w:tc>
          <w:tcPr>
            <w:tcW w:w="170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(703,124)</w:t>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319" w:before="23" w:after="2"/>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13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(430,908)</w:t>
            </w:r>
          </w:p>
        </w:tc>
        <w:tc>
          <w:tcPr>
            <w:tcW w:w="17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(431,283)</w:t>
            </w:r>
          </w:p>
        </w:tc>
      </w:tr>
      <w:tr>
        <w:trPr/>
        <w:tc>
          <w:tcPr>
            <w:tcW w:w="6626"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1382"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(15,332)</w:t>
            </w:r>
          </w:p>
        </w:tc>
        <w:tc>
          <w:tcPr>
            <w:tcW w:w="1701"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(31,262)</w:t>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Other operating income</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138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12,799</w:t>
            </w:r>
          </w:p>
        </w:tc>
        <w:tc>
          <w:tcPr>
            <w:tcW w:w="1701"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41,087</w:t>
            </w:r>
          </w:p>
        </w:tc>
      </w:tr>
      <w:tr>
        <w:trPr/>
        <w:tc>
          <w:tcPr>
            <w:tcW w:w="6626"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Other operating expense</w:t>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1382"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(50,538)</w:t>
            </w:r>
          </w:p>
        </w:tc>
        <w:tc>
          <w:tcPr>
            <w:tcW w:w="1701"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(20,333)</w:t>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Foreign exchange (losses) gains on operating activities, net</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(30,077)</w:t>
            </w:r>
          </w:p>
        </w:tc>
        <w:tc>
          <w:tcPr>
            <w:tcW w:w="1701"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49,321</w:t>
            </w:r>
          </w:p>
        </w:tc>
      </w:tr>
      <w:tr>
        <w:trPr/>
        <w:tc>
          <w:tcPr>
            <w:tcW w:w="6626"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18"/>
              </w:rPr>
            </w:pPr>
            <w:r>
              <w:rPr>
                <w:rFonts w:ascii="Times New Roman;serif" w:hAnsi="Times New Roman;serif"/>
                <w:b/>
                <w:color w:val="000000"/>
                <w:sz w:val="18"/>
              </w:rPr>
              <w:t>Operating loss</w:t>
            </w:r>
          </w:p>
        </w:tc>
        <w:tc>
          <w:tcPr>
            <w:tcW w:w="4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(628,866)</w:t>
            </w:r>
          </w:p>
        </w:tc>
        <w:tc>
          <w:tcPr>
            <w:tcW w:w="170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(1,095,594)</w:t>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71" w:before="0" w:after="0"/>
              <w:jc w:val="left"/>
              <w:rPr>
                <w:rFonts w:ascii="Times New Roman;serif" w:hAnsi="Times New Roman;serif"/>
                <w:b w:val="false"/>
                <w:color w:val="000000"/>
                <w:sz w:val="20"/>
              </w:rPr>
            </w:pPr>
            <w:r>
              <w:rPr>
                <w:rFonts w:ascii="Times New Roman;serif" w:hAnsi="Times New Roman;serif"/>
                <w:b w:val="false"/>
                <w:color w:val="000000"/>
                <w:sz w:val="20"/>
              </w:rPr>
              <w:t>Finance income</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5,256</w:t>
            </w:r>
          </w:p>
        </w:tc>
        <w:tc>
          <w:tcPr>
            <w:tcW w:w="17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3,415</w:t>
            </w:r>
          </w:p>
        </w:tc>
      </w:tr>
      <w:tr>
        <w:trPr/>
        <w:tc>
          <w:tcPr>
            <w:tcW w:w="6626" w:type="dxa"/>
            <w:gridSpan w:val="3"/>
            <w:tcBorders/>
            <w:shd w:fill="DBDBDB" w:val="clear"/>
            <w:tcMar>
              <w:top w:w="0" w:type="dxa"/>
              <w:left w:w="0" w:type="dxa"/>
              <w:bottom w:w="0" w:type="dxa"/>
              <w:right w:w="0" w:type="dxa"/>
            </w:tcMar>
            <w:vAlign w:val="center"/>
          </w:tcPr>
          <w:p>
            <w:pPr>
              <w:pStyle w:val="TableContents"/>
              <w:bidi w:val="0"/>
              <w:spacing w:lineRule="auto" w:line="271" w:before="0" w:after="0"/>
              <w:jc w:val="left"/>
              <w:rPr>
                <w:rFonts w:ascii="Times New Roman;serif" w:hAnsi="Times New Roman;serif"/>
                <w:b w:val="false"/>
                <w:color w:val="000000"/>
                <w:sz w:val="20"/>
              </w:rPr>
            </w:pPr>
            <w:r>
              <w:rPr>
                <w:rFonts w:ascii="Times New Roman;serif" w:hAnsi="Times New Roman;serif"/>
                <w:b w:val="false"/>
                <w:color w:val="000000"/>
                <w:sz w:val="20"/>
              </w:rPr>
              <w:t>Finance expense</w:t>
            </w:r>
          </w:p>
        </w:tc>
        <w:tc>
          <w:tcPr>
            <w:tcW w:w="4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(205,162)</w:t>
            </w:r>
          </w:p>
        </w:tc>
        <w:tc>
          <w:tcPr>
            <w:tcW w:w="1701"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(185,319)</w:t>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Foreign exchange (losses) gains on financial activities, net</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(14,795)</w:t>
            </w:r>
          </w:p>
        </w:tc>
        <w:tc>
          <w:tcPr>
            <w:tcW w:w="1701"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49,382</w:t>
            </w:r>
          </w:p>
        </w:tc>
      </w:tr>
      <w:tr>
        <w:trPr/>
        <w:tc>
          <w:tcPr>
            <w:tcW w:w="6626"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r>
      <w:tr>
        <w:trPr/>
        <w:tc>
          <w:tcPr>
            <w:tcW w:w="6626"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r>
      <w:tr>
        <w:trPr/>
        <w:tc>
          <w:tcPr>
            <w:tcW w:w="6626" w:type="dxa"/>
            <w:gridSpan w:val="3"/>
            <w:tcBorders/>
            <w:shd w:fill="DBDBDB" w:val="clear"/>
            <w:tcMar>
              <w:top w:w="0" w:type="dxa"/>
              <w:left w:w="0" w:type="dxa"/>
              <w:bottom w:w="0" w:type="dxa"/>
              <w:right w:w="0" w:type="dxa"/>
            </w:tcMar>
            <w:vAlign w:val="center"/>
          </w:tcPr>
          <w:p>
            <w:pPr>
              <w:pStyle w:val="TableContents"/>
              <w:bidi w:val="0"/>
              <w:spacing w:lineRule="auto" w:line="271" w:before="0" w:after="2"/>
              <w:jc w:val="left"/>
              <w:rPr>
                <w:rFonts w:ascii="Times New Roman;serif" w:hAnsi="Times New Roman;serif"/>
                <w:b w:val="false"/>
                <w:color w:val="000000"/>
                <w:sz w:val="20"/>
              </w:rPr>
            </w:pPr>
            <w:r>
              <w:rPr>
                <w:rFonts w:ascii="Times New Roman;serif" w:hAnsi="Times New Roman;serif"/>
                <w:b w:val="false"/>
                <w:color w:val="000000"/>
                <w:sz w:val="20"/>
              </w:rPr>
              <w:t>Fair value changes - Earn-out rights and Class C shares</w:t>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1382"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6,374</w:t>
            </w:r>
          </w:p>
        </w:tc>
        <w:tc>
          <w:tcPr>
            <w:tcW w:w="1701"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15,813</w:t>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71" w:before="0" w:after="2"/>
              <w:jc w:val="left"/>
              <w:rPr>
                <w:rFonts w:ascii="Times New Roman;serif" w:hAnsi="Times New Roman;serif"/>
                <w:b w:val="false"/>
                <w:color w:val="000000"/>
                <w:sz w:val="20"/>
              </w:rPr>
            </w:pPr>
            <w:r>
              <w:rPr>
                <w:rFonts w:ascii="Times New Roman;serif" w:hAnsi="Times New Roman;serif"/>
                <w:b w:val="false"/>
                <w:color w:val="000000"/>
                <w:sz w:val="20"/>
              </w:rPr>
              <w:t>Share of losses in associates</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w:t>
            </w:r>
          </w:p>
        </w:tc>
        <w:tc>
          <w:tcPr>
            <w:tcW w:w="1701"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(24,261)</w:t>
            </w:r>
          </w:p>
        </w:tc>
      </w:tr>
      <w:tr>
        <w:trPr/>
        <w:tc>
          <w:tcPr>
            <w:tcW w:w="6626"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18"/>
              </w:rPr>
            </w:pPr>
            <w:r>
              <w:rPr>
                <w:rFonts w:ascii="Times New Roman;serif" w:hAnsi="Times New Roman;serif"/>
                <w:b/>
                <w:color w:val="000000"/>
                <w:sz w:val="18"/>
              </w:rPr>
              <w:t>Loss before income taxes</w:t>
            </w:r>
          </w:p>
        </w:tc>
        <w:tc>
          <w:tcPr>
            <w:tcW w:w="4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(837,193)</w:t>
            </w:r>
          </w:p>
        </w:tc>
        <w:tc>
          <w:tcPr>
            <w:tcW w:w="170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(1,236,564)</w:t>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71" w:before="0" w:after="2"/>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(5,255)</w:t>
            </w:r>
          </w:p>
        </w:tc>
        <w:tc>
          <w:tcPr>
            <w:tcW w:w="17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43,485</w:t>
            </w:r>
          </w:p>
        </w:tc>
      </w:tr>
      <w:tr>
        <w:trPr/>
        <w:tc>
          <w:tcPr>
            <w:tcW w:w="6626"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18"/>
              </w:rPr>
            </w:pPr>
            <w:r>
              <w:rPr>
                <w:rFonts w:ascii="Times New Roman;serif" w:hAnsi="Times New Roman;serif"/>
                <w:b/>
                <w:color w:val="000000"/>
                <w:sz w:val="18"/>
              </w:rPr>
              <w:t>Net loss</w:t>
            </w:r>
          </w:p>
        </w:tc>
        <w:tc>
          <w:tcPr>
            <w:tcW w:w="4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(842,448)</w:t>
            </w:r>
          </w:p>
        </w:tc>
        <w:tc>
          <w:tcPr>
            <w:tcW w:w="170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(1,193,079)</w:t>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Net loss per share (in U.S. dollars)</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13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Class A - Basic and Diluted</w:t>
            </w:r>
          </w:p>
        </w:tc>
        <w:tc>
          <w:tcPr>
            <w:tcW w:w="4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4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(0.56)</w:t>
            </w:r>
          </w:p>
        </w:tc>
        <w:tc>
          <w:tcPr>
            <w:tcW w:w="6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Class B - Basic and Diluted</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(0.56)</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71" w:before="0" w:after="2"/>
              <w:jc w:val="left"/>
              <w:rPr>
                <w:rFonts w:ascii="Times New Roman;serif" w:hAnsi="Times New Roman;serif"/>
                <w:b/>
                <w:color w:val="000000"/>
                <w:sz w:val="20"/>
              </w:rPr>
            </w:pPr>
            <w:r>
              <w:rPr>
                <w:rFonts w:ascii="Times New Roman;serif" w:hAnsi="Times New Roman;serif"/>
                <w:b/>
                <w:color w:val="000000"/>
                <w:sz w:val="20"/>
              </w:rPr>
              <w:t>Consolidated Statement of Comprehensive Loss</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DBDBDB" w:val="clear"/>
            <w:tcMar>
              <w:top w:w="0" w:type="dxa"/>
              <w:left w:w="0" w:type="dxa"/>
              <w:bottom w:w="0" w:type="dxa"/>
              <w:right w:w="0" w:type="dxa"/>
            </w:tcMar>
            <w:vAlign w:val="center"/>
          </w:tcPr>
          <w:p>
            <w:pPr>
              <w:pStyle w:val="TableContents"/>
              <w:bidi w:val="0"/>
              <w:spacing w:lineRule="auto" w:line="271" w:before="0" w:after="2"/>
              <w:jc w:val="left"/>
              <w:rPr>
                <w:rFonts w:ascii="Times New Roman;serif" w:hAnsi="Times New Roman;serif"/>
                <w:b/>
                <w:color w:val="000000"/>
                <w:sz w:val="20"/>
              </w:rPr>
            </w:pPr>
            <w:r>
              <w:rPr>
                <w:rFonts w:ascii="Times New Roman;serif" w:hAnsi="Times New Roman;serif"/>
                <w:b/>
                <w:color w:val="000000"/>
                <w:sz w:val="20"/>
              </w:rPr>
              <w:t>Net loss</w:t>
            </w:r>
          </w:p>
        </w:tc>
        <w:tc>
          <w:tcPr>
            <w:tcW w:w="4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(842,448)</w:t>
            </w:r>
          </w:p>
        </w:tc>
        <w:tc>
          <w:tcPr>
            <w:tcW w:w="4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(1,193,079)</w:t>
            </w:r>
          </w:p>
        </w:tc>
        <w:tc>
          <w:tcPr>
            <w:tcW w:w="6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71" w:before="0" w:after="2"/>
              <w:jc w:val="left"/>
              <w:rPr>
                <w:rFonts w:ascii="Times New Roman;serif" w:hAnsi="Times New Roman;serif"/>
                <w:b/>
                <w:color w:val="000000"/>
                <w:sz w:val="20"/>
              </w:rPr>
            </w:pPr>
            <w:r>
              <w:rPr>
                <w:rFonts w:ascii="Times New Roman;serif" w:hAnsi="Times New Roman;serif"/>
                <w:b/>
                <w:color w:val="000000"/>
                <w:sz w:val="20"/>
              </w:rPr>
              <w:t>Other comprehensive loss</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DBDBDB" w:val="clear"/>
            <w:tcMar>
              <w:top w:w="0" w:type="dxa"/>
              <w:left w:w="0" w:type="dxa"/>
              <w:bottom w:w="0" w:type="dxa"/>
              <w:right w:w="0" w:type="dxa"/>
            </w:tcMar>
            <w:vAlign w:val="center"/>
          </w:tcPr>
          <w:p>
            <w:pPr>
              <w:pStyle w:val="TableContents"/>
              <w:bidi w:val="0"/>
              <w:spacing w:lineRule="auto" w:line="271" w:before="0" w:after="2"/>
              <w:jc w:val="left"/>
              <w:rPr>
                <w:rFonts w:ascii="Times New Roman;serif" w:hAnsi="Times New Roman;serif"/>
                <w:b w:val="false"/>
                <w:color w:val="000000"/>
                <w:sz w:val="20"/>
              </w:rPr>
            </w:pPr>
            <w:r>
              <w:rPr>
                <w:rFonts w:ascii="Times New Roman;serif" w:hAnsi="Times New Roman;serif"/>
                <w:b w:val="false"/>
                <w:color w:val="000000"/>
                <w:sz w:val="20"/>
              </w:rPr>
              <w:t>Items that may be subsequently reclassified to the Consolidated Statement of Loss:</w:t>
            </w:r>
          </w:p>
        </w:tc>
        <w:tc>
          <w:tcPr>
            <w:tcW w:w="4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71" w:before="0" w:after="0"/>
              <w:jc w:val="left"/>
              <w:rPr>
                <w:rFonts w:ascii="Times New Roman;serif" w:hAnsi="Times New Roman;serif"/>
                <w:b w:val="false"/>
                <w:color w:val="000000"/>
                <w:sz w:val="20"/>
              </w:rPr>
            </w:pPr>
            <w:r>
              <w:rPr>
                <w:rFonts w:ascii="Times New Roman;serif" w:hAnsi="Times New Roman;serif"/>
                <w:b w:val="false"/>
                <w:color w:val="000000"/>
                <w:sz w:val="20"/>
              </w:rPr>
              <w:t>Exchange rate differences from translation of foreign operations</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(91,595)</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34,876 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DBDBDB" w:val="clear"/>
            <w:tcMar>
              <w:top w:w="0" w:type="dxa"/>
              <w:left w:w="0" w:type="dxa"/>
              <w:bottom w:w="0" w:type="dxa"/>
              <w:right w:w="0" w:type="dxa"/>
            </w:tcMar>
            <w:vAlign w:val="center"/>
          </w:tcPr>
          <w:p>
            <w:pPr>
              <w:pStyle w:val="TableContents"/>
              <w:bidi w:val="0"/>
              <w:spacing w:lineRule="auto" w:line="319" w:before="23" w:after="2"/>
              <w:jc w:val="left"/>
              <w:rPr>
                <w:rFonts w:ascii="Times New Roman;serif" w:hAnsi="Times New Roman;serif"/>
                <w:b/>
                <w:color w:val="000000"/>
                <w:sz w:val="20"/>
              </w:rPr>
            </w:pPr>
            <w:r>
              <w:rPr>
                <w:rFonts w:ascii="Times New Roman;serif" w:hAnsi="Times New Roman;serif"/>
                <w:b/>
                <w:color w:val="000000"/>
                <w:sz w:val="20"/>
              </w:rPr>
              <w:t>Total other comprehensive (loss) income</w:t>
            </w:r>
          </w:p>
        </w:tc>
        <w:tc>
          <w:tcPr>
            <w:tcW w:w="4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6"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(91,595)</w:t>
            </w:r>
          </w:p>
        </w:tc>
        <w:tc>
          <w:tcPr>
            <w:tcW w:w="453" w:type="dxa"/>
            <w:tcBorders>
              <w:top w:val="single" w:sz="6"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6"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34,876</w:t>
            </w:r>
            <w:r>
              <w:rPr>
                <w:color w:val="000000"/>
              </w:rPr>
              <w:t> </w:t>
            </w:r>
          </w:p>
        </w:tc>
        <w:tc>
          <w:tcPr>
            <w:tcW w:w="654" w:type="dxa"/>
            <w:tcBorders>
              <w:top w:val="single" w:sz="6"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71" w:before="0" w:after="2"/>
              <w:jc w:val="left"/>
              <w:rPr>
                <w:rFonts w:ascii="Times New Roman;serif" w:hAnsi="Times New Roman;serif"/>
                <w:b/>
                <w:color w:val="000000"/>
                <w:sz w:val="20"/>
              </w:rPr>
            </w:pPr>
            <w:r>
              <w:rPr>
                <w:rFonts w:ascii="Times New Roman;serif" w:hAnsi="Times New Roman;serif"/>
                <w:b/>
                <w:color w:val="000000"/>
                <w:sz w:val="20"/>
              </w:rPr>
              <w:t>Total comprehensive loss</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6" w:space="0" w:color="000000"/>
              <w:bottom w:val="single" w:sz="6"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(934,043)</w:t>
            </w:r>
          </w:p>
        </w:tc>
        <w:tc>
          <w:tcPr>
            <w:tcW w:w="453" w:type="dxa"/>
            <w:tcBorders>
              <w:top w:val="single" w:sz="6" w:space="0" w:color="000000"/>
              <w:bottom w:val="sing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6" w:space="0" w:color="000000"/>
              <w:bottom w:val="single" w:sz="6"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(1,158,203)</w:t>
            </w:r>
          </w:p>
        </w:tc>
        <w:tc>
          <w:tcPr>
            <w:tcW w:w="654" w:type="dxa"/>
            <w:tcBorders>
              <w:top w:val="single" w:sz="6" w:space="0" w:color="000000"/>
              <w:bottom w:val="sing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jc w:val="left"/>
        <w:rPr/>
      </w:pPr>
      <w:r>
        <w:rPr>
          <w:rFonts w:ascii="Times New Roman;serif" w:hAnsi="Times New Roman;serif"/>
          <w:b w:val="false"/>
          <w:color w:val="000000"/>
          <w:sz w:val="16"/>
        </w:rPr>
        <w:t xml:space="preserve">1 - Certain figures and descriptions were re-presented (see </w:t>
      </w:r>
      <w:r>
        <w:rPr>
          <w:rFonts w:ascii="Times New Roman;serif" w:hAnsi="Times New Roman;serif"/>
          <w:b w:val="false"/>
          <w:i/>
          <w:color w:val="000000"/>
          <w:sz w:val="16"/>
        </w:rPr>
        <w:t>Voluntary re-presentation from previous year</w:t>
      </w:r>
      <w:r>
        <w:rPr>
          <w:color w:val="000000"/>
        </w:rPr>
        <w:t xml:space="preserve"> </w:t>
      </w:r>
      <w:r>
        <w:rPr>
          <w:rFonts w:ascii="Times New Roman;serif" w:hAnsi="Times New Roman;serif"/>
          <w:b w:val="false"/>
          <w:color w:val="000000"/>
          <w:sz w:val="16"/>
        </w:rPr>
        <w:t xml:space="preserve">in </w:t>
      </w:r>
      <w:r>
        <w:rPr>
          <w:rFonts w:ascii="Times New Roman;serif" w:hAnsi="Times New Roman;serif"/>
          <w:b w:val="false"/>
          <w:i/>
          <w:color w:val="000000"/>
          <w:sz w:val="16"/>
        </w:rPr>
        <w:t>Note 2 - Material accounting policies and judgements).</w:t>
      </w:r>
    </w:p>
    <w:p>
      <w:pPr>
        <w:pStyle w:val="TextBody"/>
        <w:bidi w:val="0"/>
        <w:spacing w:before="120" w:after="283"/>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60655"/>
                <wp:effectExtent l="0" t="0" r="0" b="0"/>
                <wp:wrapNone/>
                <wp:docPr id="30" name="Frame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2"/>
                              <w:jc w:val="center"/>
                              <w:rPr>
                                <w:rFonts w:ascii="Times New Roman;serif" w:hAnsi="Times New Roman;serif"/>
                                <w:b w:val="false"/>
                                <w:color w:val="000000"/>
                                <w:sz w:val="22"/>
                              </w:rPr>
                            </w:pPr>
                            <w:r>
                              <w:rPr>
                                <w:rFonts w:ascii="Times New Roman;serif" w:hAnsi="Times New Roman;serif"/>
                                <w:b w:val="false"/>
                                <w:color w:val="000000"/>
                                <w:sz w:val="22"/>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
                        <w:jc w:val="center"/>
                        <w:rPr>
                          <w:rFonts w:ascii="Times New Roman;serif" w:hAnsi="Times New Roman;serif"/>
                          <w:b w:val="false"/>
                          <w:color w:val="000000"/>
                          <w:sz w:val="22"/>
                        </w:rPr>
                      </w:pPr>
                      <w:r>
                        <w:rPr>
                          <w:rFonts w:ascii="Times New Roman;serif" w:hAnsi="Times New Roman;serif"/>
                          <w:b w:val="false"/>
                          <w:color w:val="000000"/>
                          <w:sz w:val="22"/>
                        </w:rPr>
                        <w:t>F-3</w:t>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Polestar Automotive Holding UK PLC</w:t>
      </w:r>
    </w:p>
    <w:p>
      <w:pPr>
        <w:pStyle w:val="TextBody"/>
        <w:bidi w:val="0"/>
        <w:spacing w:lineRule="auto" w:line="240"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 Condensed Consolidated Statement of Financial Position (in thousands of U.S. dollars)</w:t>
      </w:r>
    </w:p>
    <w:tbl>
      <w:tblPr>
        <w:tblW w:w="7320" w:type="dxa"/>
        <w:jc w:val="left"/>
        <w:tblInd w:w="0" w:type="dxa"/>
        <w:tblLayout w:type="fixed"/>
        <w:tblCellMar>
          <w:top w:w="28" w:type="dxa"/>
          <w:left w:w="28" w:type="dxa"/>
          <w:bottom w:w="28" w:type="dxa"/>
          <w:right w:w="28" w:type="dxa"/>
        </w:tblCellMar>
      </w:tblPr>
      <w:tblGrid>
        <w:gridCol w:w="1196"/>
        <w:gridCol w:w="1055"/>
        <w:gridCol w:w="1063"/>
        <w:gridCol w:w="165"/>
        <w:gridCol w:w="165"/>
        <w:gridCol w:w="166"/>
        <w:gridCol w:w="109"/>
        <w:gridCol w:w="109"/>
        <w:gridCol w:w="554"/>
        <w:gridCol w:w="527"/>
        <w:gridCol w:w="426"/>
        <w:gridCol w:w="525"/>
        <w:gridCol w:w="525"/>
        <w:gridCol w:w="735"/>
      </w:tblGrid>
      <w:tr>
        <w:trPr/>
        <w:tc>
          <w:tcPr>
            <w:tcW w:w="1196"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Note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7"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June 30, 2026</w:t>
            </w:r>
          </w:p>
        </w:tc>
        <w:tc>
          <w:tcPr>
            <w:tcW w:w="1785"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Assets</w:t>
            </w:r>
          </w:p>
        </w:tc>
        <w:tc>
          <w:tcPr>
            <w:tcW w:w="4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Non-current assets</w:t>
            </w:r>
          </w:p>
        </w:tc>
        <w:tc>
          <w:tcPr>
            <w:tcW w:w="4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Intangible assets and goodwill</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663,420 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700,326 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304,958 </w:t>
            </w:r>
          </w:p>
        </w:tc>
        <w:tc>
          <w:tcPr>
            <w:tcW w:w="4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292,993 </w:t>
            </w:r>
          </w:p>
        </w:tc>
        <w:tc>
          <w:tcPr>
            <w:tcW w:w="7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Vehicles under operating leases</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130,137 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100,535 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4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82,901 </w:t>
            </w:r>
          </w:p>
        </w:tc>
        <w:tc>
          <w:tcPr>
            <w:tcW w:w="4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54,943 </w:t>
            </w:r>
          </w:p>
        </w:tc>
        <w:tc>
          <w:tcPr>
            <w:tcW w:w="7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94,529 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92,345 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Total non-current assets</w:t>
            </w:r>
          </w:p>
        </w:tc>
        <w:tc>
          <w:tcPr>
            <w:tcW w:w="4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1,275,945</w:t>
            </w:r>
            <w:r>
              <w:rPr>
                <w:color w:val="000000"/>
              </w:rPr>
              <w:t> </w:t>
            </w:r>
          </w:p>
        </w:tc>
        <w:tc>
          <w:tcPr>
            <w:tcW w:w="42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1,241,142</w:t>
            </w:r>
            <w:r>
              <w:rPr>
                <w:color w:val="000000"/>
              </w:rPr>
              <w:t> </w:t>
            </w:r>
          </w:p>
        </w:tc>
        <w:tc>
          <w:tcPr>
            <w:tcW w:w="73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Current assets</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887,577 </w:t>
            </w:r>
          </w:p>
        </w:tc>
        <w:tc>
          <w:tcPr>
            <w:tcW w:w="4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1,159,300 </w:t>
            </w:r>
          </w:p>
        </w:tc>
        <w:tc>
          <w:tcPr>
            <w:tcW w:w="7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Trade receivables and other receivables</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363,885 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341,881 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719,986 </w:t>
            </w:r>
          </w:p>
        </w:tc>
        <w:tc>
          <w:tcPr>
            <w:tcW w:w="4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853,079 </w:t>
            </w:r>
          </w:p>
        </w:tc>
        <w:tc>
          <w:tcPr>
            <w:tcW w:w="7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Current tax assets</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17,995 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11,119 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4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251,174 </w:t>
            </w:r>
          </w:p>
        </w:tc>
        <w:tc>
          <w:tcPr>
            <w:tcW w:w="4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323,294 </w:t>
            </w:r>
          </w:p>
        </w:tc>
        <w:tc>
          <w:tcPr>
            <w:tcW w:w="7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2,240,617</w:t>
            </w:r>
            <w:r>
              <w:rPr>
                <w:color w:val="000000"/>
              </w:rPr>
              <w:t> </w:t>
            </w:r>
          </w:p>
        </w:tc>
        <w:tc>
          <w:tcPr>
            <w:tcW w:w="4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2,688,673</w:t>
            </w:r>
            <w:r>
              <w:rPr>
                <w:color w:val="000000"/>
              </w:rPr>
              <w:t> </w:t>
            </w:r>
          </w:p>
        </w:tc>
        <w:tc>
          <w:tcPr>
            <w:tcW w:w="7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Total assets</w:t>
            </w:r>
          </w:p>
        </w:tc>
        <w:tc>
          <w:tcPr>
            <w:tcW w:w="4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3,516,562</w:t>
            </w:r>
            <w:r>
              <w:rPr>
                <w:color w:val="000000"/>
              </w:rPr>
              <w:t> </w:t>
            </w:r>
          </w:p>
        </w:tc>
        <w:tc>
          <w:tcPr>
            <w:tcW w:w="42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3,929,815</w:t>
            </w:r>
            <w:r>
              <w:rPr>
                <w:color w:val="000000"/>
              </w:rPr>
              <w:t> </w:t>
            </w:r>
          </w:p>
        </w:tc>
        <w:tc>
          <w:tcPr>
            <w:tcW w:w="73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Equity</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Share capital</w:t>
            </w:r>
          </w:p>
        </w:tc>
        <w:tc>
          <w:tcPr>
            <w:tcW w:w="4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(49,349)</w:t>
            </w:r>
          </w:p>
        </w:tc>
        <w:tc>
          <w:tcPr>
            <w:tcW w:w="4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(27,817)</w:t>
            </w:r>
          </w:p>
        </w:tc>
        <w:tc>
          <w:tcPr>
            <w:tcW w:w="7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Other contributed capital</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(5,436,424)</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(4,133,458)</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reserve</w:t>
            </w:r>
          </w:p>
        </w:tc>
        <w:tc>
          <w:tcPr>
            <w:tcW w:w="4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106,256 </w:t>
            </w:r>
          </w:p>
        </w:tc>
        <w:tc>
          <w:tcPr>
            <w:tcW w:w="4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14,661 </w:t>
            </w:r>
          </w:p>
        </w:tc>
        <w:tc>
          <w:tcPr>
            <w:tcW w:w="7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10,111,283 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9,268,835 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Total equity</w:t>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4,731,766</w:t>
            </w:r>
            <w:r>
              <w:rPr>
                <w:color w:val="000000"/>
              </w:rPr>
              <w:t> </w:t>
            </w:r>
          </w:p>
        </w:tc>
        <w:tc>
          <w:tcPr>
            <w:tcW w:w="42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5,122,221</w:t>
            </w:r>
            <w:r>
              <w:rPr>
                <w:color w:val="000000"/>
              </w:rPr>
              <w:t> </w:t>
            </w:r>
          </w:p>
        </w:tc>
        <w:tc>
          <w:tcPr>
            <w:tcW w:w="73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Liabilities</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Non-current liabilities</w:t>
            </w:r>
          </w:p>
        </w:tc>
        <w:tc>
          <w:tcPr>
            <w:tcW w:w="4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(70,719)</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(76,091)</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4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(577)</w:t>
            </w:r>
          </w:p>
        </w:tc>
        <w:tc>
          <w:tcPr>
            <w:tcW w:w="7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Provisions</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(120,492)</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(133,536)</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4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(82,938)</w:t>
            </w:r>
          </w:p>
        </w:tc>
        <w:tc>
          <w:tcPr>
            <w:tcW w:w="4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(37,228)</w:t>
            </w:r>
          </w:p>
        </w:tc>
        <w:tc>
          <w:tcPr>
            <w:tcW w:w="7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Earn-out liability</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(422)</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(3,579)</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Loans and borrowings</w:t>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(946,820)</w:t>
            </w:r>
          </w:p>
        </w:tc>
        <w:tc>
          <w:tcPr>
            <w:tcW w:w="4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(2,499,230)</w:t>
            </w:r>
          </w:p>
        </w:tc>
        <w:tc>
          <w:tcPr>
            <w:tcW w:w="7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(84,460)</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(93,514)</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Total non-current liabilities</w:t>
            </w:r>
          </w:p>
        </w:tc>
        <w:tc>
          <w:tcPr>
            <w:tcW w:w="4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(1,305,851)</w:t>
            </w:r>
          </w:p>
        </w:tc>
        <w:tc>
          <w:tcPr>
            <w:tcW w:w="42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(2,843,755)</w:t>
            </w:r>
          </w:p>
        </w:tc>
        <w:tc>
          <w:tcPr>
            <w:tcW w:w="73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Trade payables</w:t>
            </w:r>
          </w:p>
        </w:tc>
        <w:tc>
          <w:tcPr>
            <w:tcW w:w="4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(894,797)</w:t>
            </w:r>
          </w:p>
        </w:tc>
        <w:tc>
          <w:tcPr>
            <w:tcW w:w="4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(1,107,162)</w:t>
            </w:r>
          </w:p>
        </w:tc>
        <w:tc>
          <w:tcPr>
            <w:tcW w:w="7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(320,875)</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(424,577)</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Advance payments from customers</w:t>
            </w:r>
          </w:p>
        </w:tc>
        <w:tc>
          <w:tcPr>
            <w:tcW w:w="4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(9,915)</w:t>
            </w:r>
          </w:p>
        </w:tc>
        <w:tc>
          <w:tcPr>
            <w:tcW w:w="4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(16,062)</w:t>
            </w:r>
          </w:p>
        </w:tc>
        <w:tc>
          <w:tcPr>
            <w:tcW w:w="7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Provisions</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(115,313)</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(120,791)</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Loans and borrowings</w:t>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(4,956,555)</w:t>
            </w:r>
          </w:p>
        </w:tc>
        <w:tc>
          <w:tcPr>
            <w:tcW w:w="4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(3,860,675)</w:t>
            </w:r>
          </w:p>
        </w:tc>
        <w:tc>
          <w:tcPr>
            <w:tcW w:w="7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Current tax liabilities</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(11,219)</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(12,276)</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4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(28,641)</w:t>
            </w:r>
          </w:p>
        </w:tc>
        <w:tc>
          <w:tcPr>
            <w:tcW w:w="4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(37,210)</w:t>
            </w:r>
          </w:p>
        </w:tc>
        <w:tc>
          <w:tcPr>
            <w:tcW w:w="7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(33,836)</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(37,183)</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Class C Shares liability</w:t>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(2,091)</w:t>
            </w:r>
          </w:p>
        </w:tc>
        <w:tc>
          <w:tcPr>
            <w:tcW w:w="4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(5,308)</w:t>
            </w:r>
          </w:p>
        </w:tc>
        <w:tc>
          <w:tcPr>
            <w:tcW w:w="7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(569,235)</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(587,037)</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4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(6,942,477)</w:t>
            </w:r>
          </w:p>
        </w:tc>
        <w:tc>
          <w:tcPr>
            <w:tcW w:w="42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(6,208,281)</w:t>
            </w:r>
          </w:p>
        </w:tc>
        <w:tc>
          <w:tcPr>
            <w:tcW w:w="73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Total liabilities</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(8,248,328)</w:t>
            </w:r>
          </w:p>
        </w:tc>
        <w:tc>
          <w:tcPr>
            <w:tcW w:w="4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(9,052,036)</w:t>
            </w:r>
          </w:p>
        </w:tc>
        <w:tc>
          <w:tcPr>
            <w:tcW w:w="7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Total equity and liabilities</w:t>
            </w:r>
          </w:p>
        </w:tc>
        <w:tc>
          <w:tcPr>
            <w:tcW w:w="4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(3,516,562)</w:t>
            </w:r>
          </w:p>
        </w:tc>
        <w:tc>
          <w:tcPr>
            <w:tcW w:w="42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(3,929,815)</w:t>
            </w:r>
          </w:p>
        </w:tc>
        <w:tc>
          <w:tcPr>
            <w:tcW w:w="73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60655"/>
                <wp:effectExtent l="0" t="0" r="0" b="0"/>
                <wp:wrapNone/>
                <wp:docPr id="31" name="Frame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2"/>
                              <w:jc w:val="center"/>
                              <w:rPr>
                                <w:rFonts w:ascii="Times New Roman;serif" w:hAnsi="Times New Roman;serif"/>
                                <w:b w:val="false"/>
                                <w:color w:val="000000"/>
                                <w:sz w:val="22"/>
                              </w:rPr>
                            </w:pPr>
                            <w:r>
                              <w:rPr>
                                <w:rFonts w:ascii="Times New Roman;serif" w:hAnsi="Times New Roman;serif"/>
                                <w:b w:val="false"/>
                                <w:color w:val="000000"/>
                                <w:sz w:val="22"/>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
                        <w:jc w:val="center"/>
                        <w:rPr>
                          <w:rFonts w:ascii="Times New Roman;serif" w:hAnsi="Times New Roman;serif"/>
                          <w:b w:val="false"/>
                          <w:color w:val="000000"/>
                          <w:sz w:val="22"/>
                        </w:rPr>
                      </w:pPr>
                      <w:r>
                        <w:rPr>
                          <w:rFonts w:ascii="Times New Roman;serif" w:hAnsi="Times New Roman;serif"/>
                          <w:b w:val="false"/>
                          <w:color w:val="000000"/>
                          <w:sz w:val="22"/>
                        </w:rPr>
                        <w:t>F-4</w:t>
                      </w:r>
                    </w:p>
                  </w:txbxContent>
                </v:textbox>
                <w10:wrap type="none"/>
              </v:rect>
            </w:pict>
          </mc:Fallback>
        </mc:AlternateContent>
      </w:r>
    </w:p>
    <w:p>
      <w:pPr>
        <w:pStyle w:val="TextBody"/>
        <w:bidi w:val="0"/>
        <w:spacing w:before="0" w:after="0"/>
        <w:jc w:val="center"/>
        <w:rPr/>
      </w:pPr>
      <w:r>
        <w:rPr/>
      </w:r>
    </w:p>
    <w:p>
      <w:pPr>
        <w:pStyle w:val="TextBody"/>
        <w:bidi w:val="0"/>
        <w:spacing w:before="120" w:after="283"/>
        <w:jc w:val="left"/>
        <w:rPr/>
      </w:pPr>
      <w:r>
        <w:rPr/>
      </w:r>
    </w:p>
    <w:p>
      <w:pPr>
        <w:pStyle w:val="TextBody"/>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Interim Financial Statements.</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60655"/>
                <wp:effectExtent l="0" t="0" r="0" b="0"/>
                <wp:wrapNone/>
                <wp:docPr id="32" name="Frame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2"/>
                              <w:jc w:val="center"/>
                              <w:rPr>
                                <w:rFonts w:ascii="Times New Roman;serif" w:hAnsi="Times New Roman;serif"/>
                                <w:b w:val="false"/>
                                <w:color w:val="000000"/>
                                <w:sz w:val="22"/>
                              </w:rPr>
                            </w:pPr>
                            <w:r>
                              <w:rPr>
                                <w:rFonts w:ascii="Times New Roman;serif" w:hAnsi="Times New Roman;serif"/>
                                <w:b w:val="false"/>
                                <w:color w:val="000000"/>
                                <w:sz w:val="22"/>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
                        <w:jc w:val="center"/>
                        <w:rPr>
                          <w:rFonts w:ascii="Times New Roman;serif" w:hAnsi="Times New Roman;serif"/>
                          <w:b w:val="false"/>
                          <w:color w:val="000000"/>
                          <w:sz w:val="22"/>
                        </w:rPr>
                      </w:pPr>
                      <w:r>
                        <w:rPr>
                          <w:rFonts w:ascii="Times New Roman;serif" w:hAnsi="Times New Roman;serif"/>
                          <w:b w:val="false"/>
                          <w:color w:val="000000"/>
                          <w:sz w:val="22"/>
                        </w:rPr>
                        <w:t>F-5</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Polestar Automotive Holding UK PLC</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Condensed Consolidated Statement of Changes in Equity</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of U.S. dollars)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98"/>
        <w:gridCol w:w="631"/>
        <w:gridCol w:w="633"/>
        <w:gridCol w:w="165"/>
        <w:gridCol w:w="165"/>
        <w:gridCol w:w="166"/>
        <w:gridCol w:w="409"/>
        <w:gridCol w:w="352"/>
        <w:gridCol w:w="287"/>
        <w:gridCol w:w="667"/>
        <w:gridCol w:w="481"/>
        <w:gridCol w:w="482"/>
        <w:gridCol w:w="677"/>
        <w:gridCol w:w="573"/>
        <w:gridCol w:w="575"/>
        <w:gridCol w:w="594"/>
        <w:gridCol w:w="530"/>
        <w:gridCol w:w="465"/>
        <w:gridCol w:w="495"/>
        <w:gridCol w:w="496"/>
        <w:gridCol w:w="264"/>
      </w:tblGrid>
      <w:tr>
        <w:trPr/>
        <w:tc>
          <w:tcPr>
            <w:tcW w:w="1098"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2362"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br/>
              <w:br/>
              <w:t>Note</w:t>
            </w:r>
          </w:p>
        </w:tc>
        <w:tc>
          <w:tcPr>
            <w:tcW w:w="1048"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br/>
              <w:t>Share capital</w:t>
            </w:r>
          </w:p>
        </w:tc>
        <w:tc>
          <w:tcPr>
            <w:tcW w:w="1630"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Other contributed capital</w:t>
            </w:r>
          </w:p>
        </w:tc>
        <w:tc>
          <w:tcPr>
            <w:tcW w:w="1825"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Foreign currency translation reserve</w:t>
            </w:r>
          </w:p>
        </w:tc>
        <w:tc>
          <w:tcPr>
            <w:tcW w:w="1589"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br/>
              <w:t>Accumulated deficit</w:t>
            </w:r>
          </w:p>
        </w:tc>
        <w:tc>
          <w:tcPr>
            <w:tcW w:w="1255"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br/>
              <w:br/>
              <w:t>Total</w:t>
            </w:r>
          </w:p>
        </w:tc>
      </w:tr>
      <w:tr>
        <w:trPr/>
        <w:tc>
          <w:tcPr>
            <w:tcW w:w="2362"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1825"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Balance as of January 1, 2026</w:t>
            </w:r>
          </w:p>
        </w:tc>
        <w:tc>
          <w:tcPr>
            <w:tcW w:w="4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(27,817)</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(4,133,458)</w:t>
            </w:r>
          </w:p>
        </w:tc>
        <w:tc>
          <w:tcPr>
            <w:tcW w:w="4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14,661</w:t>
            </w:r>
            <w:r>
              <w:rPr>
                <w:color w:val="000000"/>
              </w:rPr>
              <w:t> </w:t>
            </w:r>
          </w:p>
        </w:tc>
        <w:tc>
          <w:tcPr>
            <w:tcW w:w="5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9,268,835</w:t>
            </w:r>
            <w:r>
              <w:rPr>
                <w:color w:val="000000"/>
              </w:rPr>
              <w:t> </w:t>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5,122,221</w:t>
            </w:r>
            <w:r>
              <w:rPr>
                <w:color w:val="000000"/>
              </w:rPr>
              <w:t> </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2"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4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8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8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7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842,448 </w:t>
            </w:r>
          </w:p>
        </w:tc>
        <w:tc>
          <w:tcPr>
            <w:tcW w:w="46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842,448 </w:t>
            </w:r>
          </w:p>
        </w:tc>
        <w:tc>
          <w:tcPr>
            <w:tcW w:w="26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91,595 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91,595 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2"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Total comprehensive loss</w:t>
            </w:r>
          </w:p>
        </w:tc>
        <w:tc>
          <w:tcPr>
            <w:tcW w:w="4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8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8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91,595</w:t>
            </w:r>
            <w:r>
              <w:rPr>
                <w:color w:val="000000"/>
              </w:rPr>
              <w:t> </w:t>
            </w:r>
          </w:p>
        </w:tc>
        <w:tc>
          <w:tcPr>
            <w:tcW w:w="57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842,448</w:t>
            </w:r>
            <w:r>
              <w:rPr>
                <w:color w:val="000000"/>
              </w:rPr>
              <w:t> </w:t>
            </w:r>
          </w:p>
        </w:tc>
        <w:tc>
          <w:tcPr>
            <w:tcW w:w="46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934,043</w:t>
            </w:r>
            <w:r>
              <w:rPr>
                <w:color w:val="000000"/>
              </w:rPr>
              <w:t> </w:t>
            </w:r>
          </w:p>
        </w:tc>
        <w:tc>
          <w:tcPr>
            <w:tcW w:w="26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Equity issuances</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7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(10,857)</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(669,017)</w:t>
            </w:r>
          </w:p>
        </w:tc>
        <w:tc>
          <w:tcPr>
            <w:tcW w:w="4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(679,874)</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2"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Equity-settled share-based payment</w:t>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76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(3,350)</w:t>
            </w:r>
          </w:p>
        </w:tc>
        <w:tc>
          <w:tcPr>
            <w:tcW w:w="4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(3,367)</w:t>
            </w:r>
          </w:p>
        </w:tc>
        <w:tc>
          <w:tcPr>
            <w:tcW w:w="2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lineRule="auto" w:line="271" w:before="0" w:after="2"/>
              <w:jc w:val="left"/>
              <w:rPr>
                <w:rFonts w:ascii="Times New Roman;serif" w:hAnsi="Times New Roman;serif"/>
                <w:b w:val="false"/>
                <w:color w:val="000000"/>
                <w:sz w:val="20"/>
              </w:rPr>
            </w:pPr>
            <w:r>
              <w:rPr>
                <w:rFonts w:ascii="Times New Roman;serif" w:hAnsi="Times New Roman;serif"/>
                <w:b w:val="false"/>
                <w:color w:val="000000"/>
                <w:sz w:val="20"/>
              </w:rPr>
              <w:t>Debt-to-equity conversion - Snita Term Loan Facility</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(6,004)</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(335,253)</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(341,257)</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2" w:type="dxa"/>
            <w:gridSpan w:val="3"/>
            <w:tcBorders/>
            <w:shd w:fill="DBDBDB" w:val="clear"/>
            <w:tcMar>
              <w:top w:w="0" w:type="dxa"/>
              <w:left w:w="0" w:type="dxa"/>
              <w:bottom w:w="0" w:type="dxa"/>
              <w:right w:w="0" w:type="dxa"/>
            </w:tcMar>
            <w:vAlign w:val="center"/>
          </w:tcPr>
          <w:p>
            <w:pPr>
              <w:pStyle w:val="TableContents"/>
              <w:bidi w:val="0"/>
              <w:spacing w:lineRule="auto" w:line="271" w:before="0" w:after="2"/>
              <w:jc w:val="left"/>
              <w:rPr>
                <w:rFonts w:ascii="Times New Roman;serif" w:hAnsi="Times New Roman;serif"/>
                <w:b w:val="false"/>
                <w:color w:val="000000"/>
                <w:sz w:val="20"/>
              </w:rPr>
            </w:pPr>
            <w:r>
              <w:rPr>
                <w:rFonts w:ascii="Times New Roman;serif" w:hAnsi="Times New Roman;serif"/>
                <w:b w:val="false"/>
                <w:color w:val="000000"/>
                <w:sz w:val="20"/>
              </w:rPr>
              <w:t>Debt-to-equity conversion - Geely Term Loan Facility</w:t>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76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(4,654)</w:t>
            </w:r>
          </w:p>
        </w:tc>
        <w:tc>
          <w:tcPr>
            <w:tcW w:w="2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(295,346)</w:t>
            </w:r>
          </w:p>
        </w:tc>
        <w:tc>
          <w:tcPr>
            <w:tcW w:w="4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(300,000)</w:t>
            </w:r>
          </w:p>
        </w:tc>
        <w:tc>
          <w:tcPr>
            <w:tcW w:w="2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2"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1825"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(49,349)</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(5,436,424)</w:t>
            </w:r>
          </w:p>
        </w:tc>
        <w:tc>
          <w:tcPr>
            <w:tcW w:w="4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106,256</w:t>
            </w:r>
            <w:r>
              <w:rPr>
                <w:color w:val="000000"/>
              </w:rPr>
              <w:t> </w:t>
            </w:r>
          </w:p>
        </w:tc>
        <w:tc>
          <w:tcPr>
            <w:tcW w:w="5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10,111,283</w:t>
            </w:r>
            <w:r>
              <w:rPr>
                <w:color w:val="000000"/>
              </w:rPr>
              <w:t> </w:t>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4,731,766</w:t>
            </w:r>
            <w:r>
              <w:rPr>
                <w:color w:val="000000"/>
              </w:rPr>
              <w:t> </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Balance as of January 1, 2025</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(21,169)</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(3,625,027)</w:t>
            </w:r>
          </w:p>
        </w:tc>
        <w:tc>
          <w:tcPr>
            <w:tcW w:w="4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63,152</w:t>
            </w:r>
            <w:r>
              <w:rPr>
                <w:color w:val="000000"/>
              </w:rPr>
              <w:t> </w:t>
            </w:r>
          </w:p>
        </w:tc>
        <w:tc>
          <w:tcPr>
            <w:tcW w:w="5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6,911,604</w:t>
            </w:r>
            <w:r>
              <w:rPr>
                <w:color w:val="000000"/>
              </w:rPr>
              <w:t> </w:t>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3,328,560</w:t>
            </w:r>
            <w:r>
              <w:rPr>
                <w:color w:val="000000"/>
              </w:rPr>
              <w:t> </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2"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4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8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8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7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1,193,079 </w:t>
            </w:r>
          </w:p>
        </w:tc>
        <w:tc>
          <w:tcPr>
            <w:tcW w:w="46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1,193,079 </w:t>
            </w:r>
          </w:p>
        </w:tc>
        <w:tc>
          <w:tcPr>
            <w:tcW w:w="26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(34,876)</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(34,876)</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2"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Total comprehensive loss</w:t>
            </w:r>
          </w:p>
        </w:tc>
        <w:tc>
          <w:tcPr>
            <w:tcW w:w="4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8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8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(34,876)</w:t>
            </w:r>
          </w:p>
        </w:tc>
        <w:tc>
          <w:tcPr>
            <w:tcW w:w="57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1,193,079</w:t>
            </w:r>
            <w:r>
              <w:rPr>
                <w:color w:val="000000"/>
              </w:rPr>
              <w:t> </w:t>
            </w:r>
          </w:p>
        </w:tc>
        <w:tc>
          <w:tcPr>
            <w:tcW w:w="46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1,158,203</w:t>
            </w:r>
            <w:r>
              <w:rPr>
                <w:color w:val="000000"/>
              </w:rPr>
              <w:t> </w:t>
            </w:r>
          </w:p>
        </w:tc>
        <w:tc>
          <w:tcPr>
            <w:tcW w:w="26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Equity issuance - Securities Purchase Agreement</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(200,000)</w:t>
            </w:r>
          </w:p>
        </w:tc>
        <w:tc>
          <w:tcPr>
            <w:tcW w:w="4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(200,000)</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2"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Equity-settled share-based payment</w:t>
            </w:r>
          </w:p>
        </w:tc>
        <w:tc>
          <w:tcPr>
            <w:tcW w:w="4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2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(5,406)</w:t>
            </w:r>
          </w:p>
        </w:tc>
        <w:tc>
          <w:tcPr>
            <w:tcW w:w="4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(5,495)</w:t>
            </w:r>
          </w:p>
        </w:tc>
        <w:tc>
          <w:tcPr>
            <w:tcW w:w="2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Related party capital contribution</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(15,265)</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(15,265)</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2"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Balance as of June 30, 2025</w:t>
            </w:r>
          </w:p>
        </w:tc>
        <w:tc>
          <w:tcPr>
            <w:tcW w:w="4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(21,258)</w:t>
            </w:r>
          </w:p>
        </w:tc>
        <w:tc>
          <w:tcPr>
            <w:tcW w:w="28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(3,845,698)</w:t>
            </w:r>
          </w:p>
        </w:tc>
        <w:tc>
          <w:tcPr>
            <w:tcW w:w="48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28,276</w:t>
            </w:r>
            <w:r>
              <w:rPr>
                <w:color w:val="000000"/>
              </w:rPr>
              <w:t> </w:t>
            </w:r>
          </w:p>
        </w:tc>
        <w:tc>
          <w:tcPr>
            <w:tcW w:w="57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8,104,683</w:t>
            </w:r>
            <w:r>
              <w:rPr>
                <w:color w:val="000000"/>
              </w:rPr>
              <w:t> </w:t>
            </w:r>
          </w:p>
        </w:tc>
        <w:tc>
          <w:tcPr>
            <w:tcW w:w="46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4,266,003</w:t>
            </w:r>
            <w:r>
              <w:rPr>
                <w:color w:val="000000"/>
              </w:rPr>
              <w:t> </w:t>
            </w:r>
          </w:p>
        </w:tc>
        <w:tc>
          <w:tcPr>
            <w:tcW w:w="26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0655"/>
                <wp:effectExtent l="0" t="0" r="0" b="0"/>
                <wp:wrapNone/>
                <wp:docPr id="33" name="Frame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2"/>
                              <w:jc w:val="center"/>
                              <w:rPr>
                                <w:rFonts w:ascii="Times New Roman;serif" w:hAnsi="Times New Roman;serif"/>
                                <w:b w:val="false"/>
                                <w:color w:val="000000"/>
                                <w:sz w:val="22"/>
                              </w:rPr>
                            </w:pPr>
                            <w:r>
                              <w:rPr>
                                <w:rFonts w:ascii="Times New Roman;serif" w:hAnsi="Times New Roman;serif"/>
                                <w:b w:val="false"/>
                                <w:color w:val="000000"/>
                                <w:sz w:val="22"/>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
                        <w:jc w:val="center"/>
                        <w:rPr>
                          <w:rFonts w:ascii="Times New Roman;serif" w:hAnsi="Times New Roman;serif"/>
                          <w:b w:val="false"/>
                          <w:color w:val="000000"/>
                          <w:sz w:val="22"/>
                        </w:rPr>
                      </w:pPr>
                      <w:r>
                        <w:rPr>
                          <w:rFonts w:ascii="Times New Roman;serif" w:hAnsi="Times New Roman;serif"/>
                          <w:b w:val="false"/>
                          <w:color w:val="000000"/>
                          <w:sz w:val="22"/>
                        </w:rPr>
                        <w:t>F-6</w:t>
                      </w:r>
                    </w:p>
                  </w:txbxContent>
                </v:textbox>
                <w10:wrap type="none"/>
              </v:rect>
            </w:pict>
          </mc:Fallback>
        </mc:AlternateContent>
      </w:r>
    </w:p>
    <w:p>
      <w:pPr>
        <w:pStyle w:val="TextBody"/>
        <w:bidi w:val="0"/>
        <w:spacing w:before="0" w:after="2"/>
        <w:jc w:val="left"/>
        <w:rPr/>
      </w:pPr>
      <w:r>
        <w:rPr/>
      </w:r>
    </w:p>
    <w:p>
      <w:pPr>
        <w:pStyle w:val="TextBody"/>
        <w:bidi w:val="0"/>
        <w:spacing w:lineRule="auto" w:line="240"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Polestar Automotive Holding UK PLC</w:t>
      </w:r>
    </w:p>
    <w:p>
      <w:pPr>
        <w:pStyle w:val="TextBody"/>
        <w:bidi w:val="0"/>
        <w:spacing w:lineRule="auto" w:line="268" w:before="0" w:after="2"/>
        <w:jc w:val="center"/>
        <w:rPr>
          <w:rFonts w:ascii="Times New Roman;serif" w:hAnsi="Times New Roman;serif"/>
          <w:b w:val="false"/>
          <w:color w:val="000000"/>
          <w:sz w:val="20"/>
        </w:rPr>
      </w:pPr>
      <w:r>
        <w:rPr>
          <w:rFonts w:ascii="Times New Roman;serif" w:hAnsi="Times New Roman;serif"/>
          <w:b w:val="false"/>
          <w:color w:val="000000"/>
          <w:sz w:val="20"/>
        </w:rPr>
        <w:t>Unaudited Condensed Consolidated Statement of Cash Flows</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of U.S. dollars)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465"/>
        <w:gridCol w:w="2061"/>
        <w:gridCol w:w="2076"/>
        <w:gridCol w:w="225"/>
        <w:gridCol w:w="225"/>
        <w:gridCol w:w="227"/>
        <w:gridCol w:w="554"/>
        <w:gridCol w:w="472"/>
        <w:gridCol w:w="329"/>
        <w:gridCol w:w="696"/>
        <w:gridCol w:w="398"/>
        <w:gridCol w:w="477"/>
      </w:tblGrid>
      <w:tr>
        <w:trPr/>
        <w:tc>
          <w:tcPr>
            <w:tcW w:w="2465"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66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6"/>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6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Note</w:t>
            </w:r>
          </w:p>
        </w:tc>
        <w:tc>
          <w:tcPr>
            <w:tcW w:w="135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157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602"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67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(842,448)</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(1,193,079)</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2"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Adjustments to reconcile net loss to net cash flows:</w:t>
            </w:r>
          </w:p>
        </w:tc>
        <w:tc>
          <w:tcPr>
            <w:tcW w:w="67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4, 7, 8</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12,137 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32,333 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2"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Warranty provisions</w:t>
            </w:r>
          </w:p>
        </w:tc>
        <w:tc>
          <w:tcPr>
            <w:tcW w:w="677"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102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35,414 </w:t>
            </w:r>
          </w:p>
        </w:tc>
        <w:tc>
          <w:tcPr>
            <w:tcW w:w="3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40,828 </w:t>
            </w:r>
          </w:p>
        </w:tc>
        <w:tc>
          <w:tcPr>
            <w:tcW w:w="4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Impairment of inventory</w:t>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4, 10</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87,752 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81,056 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2"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Impairment (reversal) expense of property, plant, and equipment, vehicles under operating leases, and intangible assets, net</w:t>
            </w:r>
          </w:p>
        </w:tc>
        <w:tc>
          <w:tcPr>
            <w:tcW w:w="677"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2, 4, 7, 8</w:t>
            </w:r>
          </w:p>
        </w:tc>
        <w:tc>
          <w:tcPr>
            <w:tcW w:w="102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(1,154)</w:t>
            </w:r>
          </w:p>
        </w:tc>
        <w:tc>
          <w:tcPr>
            <w:tcW w:w="3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723,524 </w:t>
            </w:r>
          </w:p>
        </w:tc>
        <w:tc>
          <w:tcPr>
            <w:tcW w:w="4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Finance income</w:t>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(5,256)</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(52,797)</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2"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Finance expense</w:t>
            </w:r>
          </w:p>
        </w:tc>
        <w:tc>
          <w:tcPr>
            <w:tcW w:w="67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205,162 </w:t>
            </w:r>
          </w:p>
        </w:tc>
        <w:tc>
          <w:tcPr>
            <w:tcW w:w="3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185,319 </w:t>
            </w:r>
          </w:p>
        </w:tc>
        <w:tc>
          <w:tcPr>
            <w:tcW w:w="4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2"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r>
      <w:tr>
        <w:trPr/>
        <w:tc>
          <w:tcPr>
            <w:tcW w:w="6602"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r>
      <w:tr>
        <w:trPr/>
        <w:tc>
          <w:tcPr>
            <w:tcW w:w="660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Fair value change - Earn-out rights and Class C Shares</w:t>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(6,374)</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(15,813)</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2"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67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5,255 </w:t>
            </w:r>
          </w:p>
        </w:tc>
        <w:tc>
          <w:tcPr>
            <w:tcW w:w="3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(43,485)</w:t>
            </w:r>
          </w:p>
        </w:tc>
        <w:tc>
          <w:tcPr>
            <w:tcW w:w="4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Share of losses in associates</w:t>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24,261 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2"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r>
      <w:tr>
        <w:trPr/>
        <w:tc>
          <w:tcPr>
            <w:tcW w:w="6602"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Net losses (gains) on derecognition and disposal of property, plant and equipment and intangible assets</w:t>
            </w:r>
          </w:p>
        </w:tc>
        <w:tc>
          <w:tcPr>
            <w:tcW w:w="677"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102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12,908 </w:t>
            </w:r>
          </w:p>
        </w:tc>
        <w:tc>
          <w:tcPr>
            <w:tcW w:w="3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4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Litigation provisions, net of insurance</w:t>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2"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Other provisions</w:t>
            </w:r>
          </w:p>
        </w:tc>
        <w:tc>
          <w:tcPr>
            <w:tcW w:w="677"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102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64,775 </w:t>
            </w:r>
          </w:p>
        </w:tc>
        <w:tc>
          <w:tcPr>
            <w:tcW w:w="3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35,993 </w:t>
            </w:r>
          </w:p>
        </w:tc>
        <w:tc>
          <w:tcPr>
            <w:tcW w:w="4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Exchange rate income (loss), net</w:t>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34,504 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(38,546)</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2"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Other non-cash expense and income</w:t>
            </w:r>
          </w:p>
        </w:tc>
        <w:tc>
          <w:tcPr>
            <w:tcW w:w="67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(16,217)</w:t>
            </w:r>
          </w:p>
        </w:tc>
        <w:tc>
          <w:tcPr>
            <w:tcW w:w="3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40,931 </w:t>
            </w:r>
          </w:p>
        </w:tc>
        <w:tc>
          <w:tcPr>
            <w:tcW w:w="4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Changes in operating assets and liabilities:</w:t>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2"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677"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102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37,641 </w:t>
            </w:r>
          </w:p>
        </w:tc>
        <w:tc>
          <w:tcPr>
            <w:tcW w:w="3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345,169 </w:t>
            </w:r>
          </w:p>
        </w:tc>
        <w:tc>
          <w:tcPr>
            <w:tcW w:w="4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(5,461)</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(6,720)</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2"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Trade receivables, prepaid expenses, and other assets</w:t>
            </w:r>
          </w:p>
        </w:tc>
        <w:tc>
          <w:tcPr>
            <w:tcW w:w="67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64,070 </w:t>
            </w:r>
          </w:p>
        </w:tc>
        <w:tc>
          <w:tcPr>
            <w:tcW w:w="3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(149,266)</w:t>
            </w:r>
          </w:p>
        </w:tc>
        <w:tc>
          <w:tcPr>
            <w:tcW w:w="4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Trade payables, accrued expenses, and other liabilities</w:t>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(340,108)</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(335,281)</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2"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Restricted deposits</w:t>
            </w:r>
          </w:p>
        </w:tc>
        <w:tc>
          <w:tcPr>
            <w:tcW w:w="67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(17,689)</w:t>
            </w:r>
          </w:p>
        </w:tc>
        <w:tc>
          <w:tcPr>
            <w:tcW w:w="3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(2,565)</w:t>
            </w:r>
          </w:p>
        </w:tc>
        <w:tc>
          <w:tcPr>
            <w:tcW w:w="4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Interest received</w:t>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1,629 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1,867 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2"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67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(164,338)</w:t>
            </w:r>
          </w:p>
        </w:tc>
        <w:tc>
          <w:tcPr>
            <w:tcW w:w="3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(146,545)</w:t>
            </w:r>
          </w:p>
        </w:tc>
        <w:tc>
          <w:tcPr>
            <w:tcW w:w="4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Taxes paid</w:t>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(12,108)</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(23,967)</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2"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Cash used for operating activities</w:t>
            </w:r>
          </w:p>
        </w:tc>
        <w:tc>
          <w:tcPr>
            <w:tcW w:w="67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(849,906)</w:t>
            </w:r>
          </w:p>
        </w:tc>
        <w:tc>
          <w:tcPr>
            <w:tcW w:w="32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(497,652)</w:t>
            </w:r>
          </w:p>
        </w:tc>
        <w:tc>
          <w:tcPr>
            <w:tcW w:w="47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2" w:type="dxa"/>
            <w:gridSpan w:val="3"/>
            <w:tcBorders/>
            <w:shd w:fill="FFFFFF" w:val="clear"/>
            <w:tcMar>
              <w:top w:w="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2"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Additions to property, plant, and equipment</w:t>
            </w:r>
          </w:p>
        </w:tc>
        <w:tc>
          <w:tcPr>
            <w:tcW w:w="677"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102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(66,358)</w:t>
            </w:r>
          </w:p>
        </w:tc>
        <w:tc>
          <w:tcPr>
            <w:tcW w:w="3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(88,032)</w:t>
            </w:r>
          </w:p>
        </w:tc>
        <w:tc>
          <w:tcPr>
            <w:tcW w:w="4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Additions to intangible assets</w:t>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(145,216)</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(201,581)</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2"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Additions to investment in associates</w:t>
            </w:r>
          </w:p>
        </w:tc>
        <w:tc>
          <w:tcPr>
            <w:tcW w:w="67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(38,816)</w:t>
            </w:r>
          </w:p>
        </w:tc>
        <w:tc>
          <w:tcPr>
            <w:tcW w:w="4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2"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r>
      <w:tr>
        <w:trPr/>
        <w:tc>
          <w:tcPr>
            <w:tcW w:w="660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Reductions to other non-current assets</w:t>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2"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plant and equipment</w:t>
            </w:r>
          </w:p>
        </w:tc>
        <w:tc>
          <w:tcPr>
            <w:tcW w:w="677"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102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6,294 </w:t>
            </w:r>
          </w:p>
        </w:tc>
        <w:tc>
          <w:tcPr>
            <w:tcW w:w="4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2"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r>
      <w:tr>
        <w:trPr/>
        <w:tc>
          <w:tcPr>
            <w:tcW w:w="660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Cash used for investing activities</w:t>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(210,853)</w:t>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(321,675)</w:t>
            </w:r>
          </w:p>
        </w:tc>
        <w:tc>
          <w:tcPr>
            <w:tcW w:w="4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2"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67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2"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r>
      <w:tr>
        <w:trPr/>
        <w:tc>
          <w:tcPr>
            <w:tcW w:w="660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Proceeds from short-term borrowings</w:t>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1,728,328 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1,954,240 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2"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Proceeds from long-term borrowings</w:t>
            </w:r>
          </w:p>
        </w:tc>
        <w:tc>
          <w:tcPr>
            <w:tcW w:w="67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12,873 </w:t>
            </w:r>
          </w:p>
        </w:tc>
        <w:tc>
          <w:tcPr>
            <w:tcW w:w="3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2"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r>
      <w:tr>
        <w:trPr/>
        <w:tc>
          <w:tcPr>
            <w:tcW w:w="6602"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r>
      <w:tr>
        <w:trPr/>
        <w:tc>
          <w:tcPr>
            <w:tcW w:w="660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Repayments of borrowings</w:t>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(1,622,852)</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(1,455,817)</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2"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Proceeds from equity issuance</w:t>
            </w:r>
          </w:p>
        </w:tc>
        <w:tc>
          <w:tcPr>
            <w:tcW w:w="677"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102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700,000 </w:t>
            </w:r>
          </w:p>
        </w:tc>
        <w:tc>
          <w:tcPr>
            <w:tcW w:w="3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4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Repayments of lease liabilities</w:t>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(16,301)</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(10,968)</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2"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67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(33,323)</w:t>
            </w:r>
          </w:p>
        </w:tc>
        <w:tc>
          <w:tcPr>
            <w:tcW w:w="3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Cash provided by financing activities</w:t>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768,725</w:t>
            </w:r>
            <w:r>
              <w:rPr>
                <w:color w:val="000000"/>
              </w:rPr>
              <w:t> </w:t>
            </w:r>
          </w:p>
        </w:tc>
        <w:tc>
          <w:tcPr>
            <w:tcW w:w="3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687,455</w:t>
            </w:r>
            <w:r>
              <w:rPr>
                <w:color w:val="000000"/>
              </w:rPr>
              <w:t> </w:t>
            </w:r>
          </w:p>
        </w:tc>
        <w:tc>
          <w:tcPr>
            <w:tcW w:w="47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60655"/>
                <wp:effectExtent l="0" t="0" r="0" b="0"/>
                <wp:wrapNone/>
                <wp:docPr id="34" name="Frame2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2"/>
                              <w:jc w:val="center"/>
                              <w:rPr>
                                <w:rFonts w:ascii="Times New Roman;serif" w:hAnsi="Times New Roman;serif"/>
                                <w:b w:val="false"/>
                                <w:color w:val="000000"/>
                                <w:sz w:val="22"/>
                              </w:rPr>
                            </w:pPr>
                            <w:r>
                              <w:rPr>
                                <w:rFonts w:ascii="Times New Roman;serif" w:hAnsi="Times New Roman;serif"/>
                                <w:b w:val="false"/>
                                <w:color w:val="000000"/>
                                <w:sz w:val="22"/>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
                        <w:jc w:val="center"/>
                        <w:rPr>
                          <w:rFonts w:ascii="Times New Roman;serif" w:hAnsi="Times New Roman;serif"/>
                          <w:b w:val="false"/>
                          <w:color w:val="000000"/>
                          <w:sz w:val="22"/>
                        </w:rPr>
                      </w:pPr>
                      <w:r>
                        <w:rPr>
                          <w:rFonts w:ascii="Times New Roman;serif" w:hAnsi="Times New Roman;serif"/>
                          <w:b w:val="false"/>
                          <w:color w:val="000000"/>
                          <w:sz w:val="22"/>
                        </w:rPr>
                        <w:t>F-7</w:t>
                      </w:r>
                    </w:p>
                  </w:txbxContent>
                </v:textbox>
                <w10:wrap type="none"/>
              </v:rect>
            </w:pict>
          </mc:Fallback>
        </mc:AlternateContent>
      </w:r>
    </w:p>
    <w:p>
      <w:pPr>
        <w:pStyle w:val="TextBody"/>
        <w:bidi w:val="0"/>
        <w:spacing w:before="0" w:after="2"/>
        <w:jc w:val="left"/>
        <w:rPr/>
      </w:pPr>
      <w:r>
        <w:rPr/>
      </w:r>
    </w:p>
    <w:tbl>
      <w:tblPr>
        <w:tblW w:w="9283" w:type="dxa"/>
        <w:jc w:val="left"/>
        <w:tblInd w:w="0" w:type="dxa"/>
        <w:tblLayout w:type="fixed"/>
        <w:tblCellMar>
          <w:top w:w="28" w:type="dxa"/>
          <w:left w:w="28" w:type="dxa"/>
          <w:bottom w:w="28" w:type="dxa"/>
          <w:right w:w="28" w:type="dxa"/>
        </w:tblCellMar>
      </w:tblPr>
      <w:tblGrid>
        <w:gridCol w:w="2069"/>
        <w:gridCol w:w="1817"/>
        <w:gridCol w:w="1828"/>
        <w:gridCol w:w="165"/>
        <w:gridCol w:w="165"/>
        <w:gridCol w:w="166"/>
        <w:gridCol w:w="540"/>
        <w:gridCol w:w="466"/>
        <w:gridCol w:w="466"/>
        <w:gridCol w:w="466"/>
        <w:gridCol w:w="466"/>
        <w:gridCol w:w="669"/>
      </w:tblGrid>
      <w:tr>
        <w:trPr/>
        <w:tc>
          <w:tcPr>
            <w:tcW w:w="2069"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3" w:type="dxa"/>
            <w:gridSpan w:val="6"/>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Note</w:t>
            </w:r>
          </w:p>
        </w:tc>
        <w:tc>
          <w:tcPr>
            <w:tcW w:w="14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16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71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Effect of foreign exchange rate changes on cash and cash equivalents</w:t>
            </w:r>
          </w:p>
        </w:tc>
        <w:tc>
          <w:tcPr>
            <w:tcW w:w="4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20,311 </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111,260 </w:t>
            </w:r>
          </w:p>
        </w:tc>
        <w:tc>
          <w:tcPr>
            <w:tcW w:w="66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Net decrease in cash and cash equivalents</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(271,723)</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(20,612)</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the beginning of the period</w:t>
            </w:r>
          </w:p>
        </w:tc>
        <w:tc>
          <w:tcPr>
            <w:tcW w:w="4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1,159,300 </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739,237 </w:t>
            </w:r>
          </w:p>
        </w:tc>
        <w:tc>
          <w:tcPr>
            <w:tcW w:w="66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Cash and cash equivalents at the end of the period</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887,577</w:t>
            </w:r>
            <w:r>
              <w:rPr>
                <w:color w:val="000000"/>
              </w:rPr>
              <w:t> </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718,625</w:t>
            </w:r>
            <w:r>
              <w:rPr>
                <w:color w:val="000000"/>
              </w:rPr>
              <w:t> </w:t>
            </w:r>
          </w:p>
        </w:tc>
        <w:tc>
          <w:tcPr>
            <w:tcW w:w="66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7" w:after="283"/>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60655"/>
                <wp:effectExtent l="0" t="0" r="0" b="0"/>
                <wp:wrapNone/>
                <wp:docPr id="35" name="Frame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2"/>
                              <w:jc w:val="center"/>
                              <w:rPr>
                                <w:rFonts w:ascii="Times New Roman;serif" w:hAnsi="Times New Roman;serif"/>
                                <w:b w:val="false"/>
                                <w:color w:val="000000"/>
                                <w:sz w:val="22"/>
                              </w:rPr>
                            </w:pPr>
                            <w:r>
                              <w:rPr>
                                <w:rFonts w:ascii="Times New Roman;serif" w:hAnsi="Times New Roman;serif"/>
                                <w:b w:val="false"/>
                                <w:color w:val="000000"/>
                                <w:sz w:val="22"/>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
                        <w:jc w:val="center"/>
                        <w:rPr>
                          <w:rFonts w:ascii="Times New Roman;serif" w:hAnsi="Times New Roman;serif"/>
                          <w:b w:val="false"/>
                          <w:color w:val="000000"/>
                          <w:sz w:val="22"/>
                        </w:rPr>
                      </w:pPr>
                      <w:r>
                        <w:rPr>
                          <w:rFonts w:ascii="Times New Roman;serif" w:hAnsi="Times New Roman;serif"/>
                          <w:b w:val="false"/>
                          <w:color w:val="000000"/>
                          <w:sz w:val="22"/>
                        </w:rPr>
                        <w:t>F-8</w:t>
                      </w:r>
                    </w:p>
                  </w:txbxContent>
                </v:textbox>
                <w10:wrap type="none"/>
              </v:rect>
            </w:pict>
          </mc:Fallback>
        </mc:AlternateContent>
      </w:r>
    </w:p>
    <w:p>
      <w:pPr>
        <w:pStyle w:val="TextBody"/>
        <w:bidi w:val="0"/>
        <w:spacing w:lineRule="auto" w:line="240" w:before="0" w:after="0"/>
        <w:jc w:val="center"/>
        <w:rPr>
          <w:rFonts w:ascii="Times New Roman;serif" w:hAnsi="Times New Roman;serif"/>
          <w:b w:val="false"/>
          <w:color w:val="B6B6B6"/>
          <w:sz w:val="18"/>
        </w:rPr>
      </w:pPr>
      <w:r>
        <w:rPr>
          <w:rFonts w:ascii="Times New Roman;serif" w:hAnsi="Times New Roman;serif"/>
          <w:b w:val="false"/>
          <w:color w:val="B6B6B6"/>
          <w:sz w:val="18"/>
        </w:rPr>
        <w:t>Notes to the Unaudited Condensed Consolidated Interim Financial Statements</w:t>
      </w:r>
    </w:p>
    <w:p>
      <w:pPr>
        <w:pStyle w:val="TextBody"/>
        <w:bidi w:val="0"/>
        <w:spacing w:lineRule="auto" w:line="319" w:before="0" w:after="2"/>
        <w:jc w:val="center"/>
        <w:rPr>
          <w:rFonts w:ascii="Times New Roman;serif" w:hAnsi="Times New Roman;serif"/>
          <w:b w:val="false"/>
          <w:color w:val="B6B6B6"/>
          <w:sz w:val="18"/>
        </w:rPr>
      </w:pPr>
      <w:r>
        <w:rPr>
          <w:rFonts w:ascii="Times New Roman;serif" w:hAnsi="Times New Roman;serif"/>
          <w:b w:val="false"/>
          <w:color w:val="B6B6B6"/>
          <w:sz w:val="18"/>
        </w:rPr>
        <w:t>(in thousands of U.S. dollars unless otherwise stated)</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Note 1 - Overview and basis of preparation</w:t>
      </w:r>
    </w:p>
    <w:p>
      <w:pPr>
        <w:pStyle w:val="TextBody"/>
        <w:bidi w:val="0"/>
        <w:spacing w:lineRule="auto" w:line="240"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General information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Automotive Holding UK PLC (the "Parent"), together with its subsidiaries, hereafter referred to as "Polestar", the "Company", "Polestar Group" or the "Group", is a public limited company incorporated in the United Kingdom. Polestar Group operates principally in the automotive industry, engaging in the research and development, branding and marketing, and commercialization and selling of battery electric vehicles. Polestar Group has a presence in 29 markets across Europe, North America, and Asia Pacific. Polestar Group has its management headquarters located at Assar Gabrielssons väg 9, 41878 Göteborg, Sweden.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At the end of June, 2026, Polestar was notified of the decision from the U.S. Department of Commerce's Bureau of Industry and Security not to grant Polestar an authorization under the current Connected Vehicle Rule to sell vehicles in the U.S. from model year 2027 onwards. The Company will continue selling previous model years in the U.S. from its inventory after which it will cease the sale of new vehicles in the U.S.. Following this, Polestar intends to continue to support customers in the U.S., including providing access to its service network and honoring the warranties and other product commitments given to customers when they purchased their vehicles. These activities are expected to reduce over time as these commitments expire and vehicles are retired.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As a result of this decision, Polestar has implemented a number of measures affecting its U.S. new vehicles sales operations, including actions relating to employees, dealers and other commercial arrangements. These actions (the "U.S. Restructuring"), together with the resulting effects on vehicles and related assets, led to material provisions, accruals and other adjustments that are included in the six months ended June 30, 2026 results, primarily:</w:t>
      </w:r>
    </w:p>
    <w:p>
      <w:pPr>
        <w:pStyle w:val="TextBody"/>
        <w:bidi w:val="0"/>
        <w:spacing w:lineRule="auto" w:line="319" w:before="120" w:after="283"/>
        <w:ind w:left="0" w:right="0" w:hanging="360"/>
        <w:jc w:val="both"/>
        <w:rPr/>
      </w:pPr>
      <w:r>
        <w:rPr>
          <w:color w:val="000000"/>
        </w:rPr>
        <w:t>•</w:t>
      </w:r>
      <w:r>
        <w:rPr>
          <w:rFonts w:ascii="Times New Roman;serif" w:hAnsi="Times New Roman;serif"/>
          <w:b w:val="false"/>
          <w:color w:val="000000"/>
          <w:sz w:val="20"/>
        </w:rPr>
        <w:t xml:space="preserve">Increase in the negative adjustment for net realizable value ("NRV") in cost of sales reflecting the sell-down of inventory; </w:t>
      </w:r>
    </w:p>
    <w:p>
      <w:pPr>
        <w:pStyle w:val="TextBody"/>
        <w:bidi w:val="0"/>
        <w:spacing w:lineRule="auto" w:line="319" w:before="0" w:after="2"/>
        <w:ind w:left="0" w:right="0" w:hanging="360"/>
        <w:jc w:val="both"/>
        <w:rPr/>
      </w:pPr>
      <w:r>
        <w:rPr>
          <w:color w:val="000000"/>
        </w:rPr>
        <w:t>•</w:t>
      </w:r>
      <w:r>
        <w:rPr>
          <w:rFonts w:ascii="Times New Roman;serif" w:hAnsi="Times New Roman;serif"/>
          <w:b w:val="false"/>
          <w:color w:val="000000"/>
          <w:sz w:val="20"/>
        </w:rPr>
        <w:t xml:space="preserve">Increase in the reversal of revenue for the additional amounts expected to be paid out under the residual value guarantees ("RVGs") reflecting the expected fall in residual values; and </w:t>
      </w:r>
    </w:p>
    <w:p>
      <w:pPr>
        <w:pStyle w:val="TextBody"/>
        <w:bidi w:val="0"/>
        <w:spacing w:lineRule="auto" w:line="319" w:before="0" w:after="2"/>
        <w:ind w:left="0" w:right="0" w:hanging="360"/>
        <w:jc w:val="both"/>
        <w:rPr/>
      </w:pPr>
      <w:r>
        <w:rPr>
          <w:color w:val="000000"/>
        </w:rPr>
        <w:t>•</w:t>
      </w:r>
      <w:r>
        <w:rPr>
          <w:rFonts w:ascii="Times New Roman;serif" w:hAnsi="Times New Roman;serif"/>
          <w:b w:val="false"/>
          <w:color w:val="000000"/>
          <w:sz w:val="20"/>
        </w:rPr>
        <w:t>Recognition of a provision for restructuring costs including employee severance costs and other obligations to suppliers/ partners.</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Basis of preparation</w:t>
      </w:r>
    </w:p>
    <w:p>
      <w:pPr>
        <w:pStyle w:val="TextBody"/>
        <w:bidi w:val="0"/>
        <w:spacing w:lineRule="auto" w:line="240" w:before="120" w:after="283"/>
        <w:jc w:val="both"/>
        <w:rPr/>
      </w:pPr>
      <w:r>
        <w:rPr>
          <w:rFonts w:ascii="Times New Roman;serif" w:hAnsi="Times New Roman;serif"/>
          <w:b w:val="false"/>
          <w:color w:val="000000"/>
          <w:sz w:val="20"/>
        </w:rPr>
        <w:t xml:space="preserve">These Unaudited Condensed Consolidated Interim Financial Statements are prepared in accordance with International Accounting Standard 34, </w:t>
      </w:r>
      <w:r>
        <w:rPr>
          <w:rFonts w:ascii="Times New Roman;serif" w:hAnsi="Times New Roman;serif"/>
          <w:b w:val="false"/>
          <w:i/>
          <w:color w:val="000000"/>
          <w:sz w:val="20"/>
        </w:rPr>
        <w:t>Interim Financial Reporting</w:t>
      </w:r>
      <w:r>
        <w:rPr>
          <w:color w:val="000000"/>
        </w:rPr>
        <w:t xml:space="preserve"> </w:t>
      </w:r>
      <w:r>
        <w:rPr>
          <w:rFonts w:ascii="Times New Roman;serif" w:hAnsi="Times New Roman;serif"/>
          <w:b w:val="false"/>
          <w:color w:val="000000"/>
          <w:sz w:val="20"/>
        </w:rPr>
        <w:t>("IAS 34"), as issued by the International Accounting Standards Board ("IASB"), and are presented in thousands of U.S. dollars, unless otherwise stated. These Unaudited Condensed Consolidated Interim Financial Statements should be read in conjunction with the Consolidated Financial Statements of Polestar Automotive Holding UK PLC, as of December 31, 2025 and 2024, and for the three years ended December 31, 2025 as presented in Form 20-F filed with the United States Securities and Exchange Commission ("SEC") on April 17, 2026 ("2025 Consolidated Financial Statements"). They do not include all of the information required for a complete set of financial statements prepared in accordance with IFRS Accounting Standards; however, selected explanatory notes are included to explain events and transactions that are significant to an understanding of the changes in the Group's financial position and performance since the last annual financial statements.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These Unaudited Condensed Consolidated Interim Financial Statements were authorized for issue by the Company's Board of Directors on September 3, 2026.</w:t>
      </w:r>
    </w:p>
    <w:p>
      <w:pPr>
        <w:pStyle w:val="TextBody"/>
        <w:bidi w:val="0"/>
        <w:spacing w:lineRule="auto" w:line="240" w:before="240" w:after="2"/>
        <w:jc w:val="both"/>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Polestar's business is subject to seasonal fluctuations, consistent with patterns observed in the general automotive industry. Demand is typically lower in the first quarter and stronger during the spring and fall. The impact of seasonality on the Group's financial performance has been less visible in the past due to rapid growth, but as the operations expand, seasonal effects may become more pronounced. Consequently, interim results may not be indicative of the full-year performance. </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Going concern</w:t>
      </w:r>
    </w:p>
    <w:p>
      <w:pPr>
        <w:pStyle w:val="TextBody"/>
        <w:bidi w:val="0"/>
        <w:spacing w:lineRule="auto" w:line="240" w:before="120" w:after="120"/>
        <w:jc w:val="both"/>
        <w:rPr>
          <w:rFonts w:ascii="Times New Roman;serif" w:hAnsi="Times New Roman;serif"/>
          <w:b w:val="false"/>
          <w:color w:val="000000"/>
          <w:sz w:val="20"/>
        </w:rPr>
      </w:pPr>
      <w:r>
        <w:rPr>
          <w:rFonts w:ascii="Times New Roman;serif" w:hAnsi="Times New Roman;serif"/>
          <w:b w:val="false"/>
          <w:color w:val="000000"/>
          <w:sz w:val="20"/>
        </w:rPr>
        <w:t>These Unaudited Condensed Consolidated Interim Financial Statements have been prepared on a basis that assumes Polestar Group will continue as a going concern.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Management assessed the Group's ability to continue as a going concern and evaluated whether there are events or conditions, considered in the aggregate, that may cast significant doubt about Polestar's ability to continue as a going concern. As a result of this assessment, management identified material uncertainties that cast significant doubt on the Group's ability to continue as a going concern. These material uncertainties relate to the successful execution of management's planned financing actions, including the renegotiation of the Club Loan financing due to expire in early 2027, which will allow the Group to obtain sufficient financing to support its cash flow needs and ensure on-going compliance with its debt covenants. In performing this assessment, management considered a broad range of relevant information, including cash flow forecasts, liquidity forecasts and operational forecasts pertaining to the twelve-month period following the issuance date of these Unaudited Condensed Consolidated Interim Financial Statements, as well as other risks related to Polestar's business. In making these forecasts, management was required to make judgements relating to the Group's future operations as well as macroeconomic and geopolitical factors. These include judgements relating to car sale volumes and prices, operating expenses, required capital expenditure and market demand for debt refinancing and debt and / or equity issuances by Polestar.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60655"/>
                <wp:effectExtent l="0" t="0" r="0" b="0"/>
                <wp:wrapNone/>
                <wp:docPr id="36" name="Frame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2"/>
                              <w:jc w:val="center"/>
                              <w:rPr>
                                <w:rFonts w:ascii="Times New Roman;serif" w:hAnsi="Times New Roman;serif"/>
                                <w:b w:val="false"/>
                                <w:color w:val="000000"/>
                                <w:sz w:val="22"/>
                              </w:rPr>
                            </w:pPr>
                            <w:r>
                              <w:rPr>
                                <w:rFonts w:ascii="Times New Roman;serif" w:hAnsi="Times New Roman;serif"/>
                                <w:b w:val="false"/>
                                <w:color w:val="000000"/>
                                <w:sz w:val="22"/>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
                        <w:jc w:val="center"/>
                        <w:rPr>
                          <w:rFonts w:ascii="Times New Roman;serif" w:hAnsi="Times New Roman;serif"/>
                          <w:b w:val="false"/>
                          <w:color w:val="000000"/>
                          <w:sz w:val="22"/>
                        </w:rPr>
                      </w:pPr>
                      <w:r>
                        <w:rPr>
                          <w:rFonts w:ascii="Times New Roman;serif" w:hAnsi="Times New Roman;serif"/>
                          <w:b w:val="false"/>
                          <w:color w:val="000000"/>
                          <w:sz w:val="22"/>
                        </w:rPr>
                        <w:t>F-9</w:t>
                      </w:r>
                    </w:p>
                  </w:txbxContent>
                </v:textbox>
                <w10:wrap type="none"/>
              </v:rect>
            </w:pict>
          </mc:Fallback>
        </mc:AlternateContent>
      </w:r>
    </w:p>
    <w:p>
      <w:pPr>
        <w:pStyle w:val="TextBody"/>
        <w:bidi w:val="0"/>
        <w:spacing w:lineRule="auto" w:line="240" w:before="0" w:after="0"/>
        <w:jc w:val="center"/>
        <w:rPr>
          <w:rFonts w:ascii="Times New Roman;serif" w:hAnsi="Times New Roman;serif"/>
          <w:b w:val="false"/>
          <w:color w:val="B6B6B6"/>
          <w:sz w:val="18"/>
        </w:rPr>
      </w:pPr>
      <w:r>
        <w:rPr>
          <w:rFonts w:ascii="Times New Roman;serif" w:hAnsi="Times New Roman;serif"/>
          <w:b w:val="false"/>
          <w:color w:val="B6B6B6"/>
          <w:sz w:val="18"/>
        </w:rPr>
        <w:t>Notes to the Unaudited Condensed Consolidated Interim Financial Statements</w:t>
      </w:r>
    </w:p>
    <w:p>
      <w:pPr>
        <w:pStyle w:val="TextBody"/>
        <w:bidi w:val="0"/>
        <w:spacing w:lineRule="auto" w:line="319" w:before="0" w:after="2"/>
        <w:jc w:val="center"/>
        <w:rPr>
          <w:rFonts w:ascii="Times New Roman;serif" w:hAnsi="Times New Roman;serif"/>
          <w:b w:val="false"/>
          <w:color w:val="B6B6B6"/>
          <w:sz w:val="18"/>
        </w:rPr>
      </w:pPr>
      <w:r>
        <w:rPr>
          <w:rFonts w:ascii="Times New Roman;serif" w:hAnsi="Times New Roman;serif"/>
          <w:b w:val="false"/>
          <w:color w:val="B6B6B6"/>
          <w:sz w:val="18"/>
        </w:rPr>
        <w:t>(in thousands of U.S. dollars unless otherwise stated)</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As a result of scaling up commercialization and continued capital expenditure related to developing its line-up of vehicles, managing the Company's liquidity profile and funding needs remains one of management's key priorities. If Polestar is not able to raise the necessary funds through its operations, equity issuances, debt financings and refinancing or other means, the Group may be required to delay, limit, reduce, or, in the worst case, terminate research and development and / or commercialization efforts. As of June 30, 2026, Polestar has net current liabilities of $4,701,860. Since inception, Polestar has generated net losses and negative operating and investing cash flows. Net losses for the six months ended June 30, 2026 and 2025 amounted to $842,448 and $1,193,079, respectively. Negative operating cash flows for the six months ended June 30, 2026 and 2025 amounted to $849,906 and $497,652, respectively. Negative investing cash flows for the six months ended June 30, 2026 and 2025 amounted to $210,853 and $321,675, respectively. Management's liquidity and funding plan forecasts that Polestar will generate negative operating cash flows in the short-term and that investing cash flows will continue to be negative in the short- and long-term due to the high capital expenditure demands of Polestar's business. Securing financing to support operating and development activities represents an ongoing challenge for the Group.</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Group primarily finances its operations through short-term (i.e., 12 months or less) working capital loan arrangements with credit institutions, contributions from shareholders, long-term financing arrangements with related parties and, in certain circumstances, by delaying payment on its trade payables to related parties.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Management's liquidity and funding plan indicates that Polestar depends on rolling over current financing arrangements as well as obtaining additional financing that is expected to be funded via one of, or a combination of, new short-term working capital loan arrangements, long-term loan arrangements, loans with related parties, and executing capital market transactions through offerings of debt and/or equity. Until Polestar begins generating sufficient positive operating cash flows, the timely realization of these financing endeavors, which are, to a significant extent, contingent on the provision of credit enhancements by Geely, is essential for the Group's ability to continue as a going concern. Management cannot guarantee that Polestar will be successful in securing the funds necessary to continue operating and developing activities as planned. During the six months ended June 30, 2026, Polestar continued to demonstrate its ability to obtain financing and proactively manage its liquidity through a combination of debt refinancing, debt-to-equity conversions, equity transactions, covenant amendments and shareholder support. Significant financing activities during the period included:</w:t>
      </w:r>
    </w:p>
    <w:p>
      <w:pPr>
        <w:pStyle w:val="TextBody"/>
        <w:bidi w:val="0"/>
        <w:spacing w:lineRule="auto" w:line="268" w:before="120" w:after="283"/>
        <w:ind w:left="0" w:right="0" w:hanging="360"/>
        <w:jc w:val="both"/>
        <w:rPr/>
      </w:pPr>
      <w:r>
        <w:rPr>
          <w:color w:val="000000"/>
        </w:rPr>
        <w:t>•</w:t>
      </w:r>
      <w:r>
        <w:rPr>
          <w:rFonts w:ascii="Times New Roman;serif" w:hAnsi="Times New Roman;serif"/>
          <w:b w:val="false"/>
          <w:color w:val="000000"/>
          <w:sz w:val="20"/>
        </w:rPr>
        <w:t>Renewal and extension of multiple working capital and trade finance facilities with existing banking partners, including the extension of the Group's syndicated trade finance facility and the renewal of secured bank loan facilities with Banco Bilbao Vizcaya Argentaria, Standard Chartered Bank, East Asia Bank and SG Asset Finance, together with additional working capital facilities entered into with Bank of China and East Asia Bank.</w:t>
      </w:r>
    </w:p>
    <w:p>
      <w:pPr>
        <w:pStyle w:val="TextBody"/>
        <w:bidi w:val="0"/>
        <w:spacing w:lineRule="auto" w:line="268" w:before="60" w:after="283"/>
        <w:ind w:left="0" w:right="0" w:hanging="360"/>
        <w:jc w:val="both"/>
        <w:rPr/>
      </w:pPr>
      <w:r>
        <w:rPr>
          <w:color w:val="000000"/>
        </w:rPr>
        <w:t>•</w:t>
      </w:r>
      <w:r>
        <w:rPr>
          <w:rFonts w:ascii="Times New Roman;serif" w:hAnsi="Times New Roman;serif"/>
          <w:b w:val="false"/>
          <w:color w:val="000000"/>
          <w:sz w:val="20"/>
        </w:rPr>
        <w:t xml:space="preserve">Completion of two equity issuances in February and March 2026 for aggregate gross proceeds of approximately $700.0 million, including investments from both existing and new institutional investors. </w:t>
      </w:r>
    </w:p>
    <w:p>
      <w:pPr>
        <w:pStyle w:val="TextBody"/>
        <w:bidi w:val="0"/>
        <w:spacing w:lineRule="auto" w:line="268" w:before="60" w:after="283"/>
        <w:ind w:left="0" w:right="0" w:hanging="360"/>
        <w:jc w:val="both"/>
        <w:rPr/>
      </w:pPr>
      <w:r>
        <w:rPr>
          <w:color w:val="000000"/>
        </w:rPr>
        <w:t>•</w:t>
      </w:r>
      <w:r>
        <w:rPr>
          <w:rFonts w:ascii="Times New Roman;serif" w:hAnsi="Times New Roman;serif"/>
          <w:b w:val="false"/>
          <w:color w:val="000000"/>
          <w:sz w:val="20"/>
        </w:rPr>
        <w:t>Conversion of approximately $274.0 million of the outstanding Snita Term Loan into equity in March 2026 and a further $66.0 million on June 30, 2026.</w:t>
      </w:r>
    </w:p>
    <w:p>
      <w:pPr>
        <w:pStyle w:val="TextBody"/>
        <w:bidi w:val="0"/>
        <w:spacing w:lineRule="auto" w:line="268" w:before="60" w:after="283"/>
        <w:ind w:left="0" w:right="0" w:hanging="360"/>
        <w:jc w:val="both"/>
        <w:rPr/>
      </w:pPr>
      <w:r>
        <w:rPr>
          <w:color w:val="000000"/>
        </w:rPr>
        <w:t>•</w:t>
      </w:r>
      <w:r>
        <w:rPr>
          <w:rFonts w:ascii="Times New Roman;serif" w:hAnsi="Times New Roman;serif"/>
          <w:b w:val="false"/>
          <w:color w:val="000000"/>
          <w:sz w:val="20"/>
        </w:rPr>
        <w:t>Completion, on June 30, 2026, of a debt-to-equity conversion by Geely Sweden Automotive Investment AB totaling approximately $300.0 million, bringing total debt-to-equity conversions completed during the six months ended June 30, 2026 to approximately $640.0 million.</w:t>
      </w:r>
    </w:p>
    <w:p>
      <w:pPr>
        <w:pStyle w:val="TextBody"/>
        <w:bidi w:val="0"/>
        <w:spacing w:lineRule="auto" w:line="268" w:before="60" w:after="283"/>
        <w:ind w:left="0" w:right="0" w:hanging="360"/>
        <w:jc w:val="both"/>
        <w:rPr/>
      </w:pPr>
      <w:r>
        <w:rPr>
          <w:color w:val="000000"/>
        </w:rPr>
        <w:t>•</w:t>
      </w:r>
      <w:r>
        <w:rPr>
          <w:rFonts w:ascii="Times New Roman;serif" w:hAnsi="Times New Roman;serif"/>
          <w:b w:val="false"/>
          <w:color w:val="000000"/>
          <w:sz w:val="20"/>
        </w:rPr>
        <w:t>Extension of the remaining maturity of the Snita Term Loan to December 2031, maintaining its subordinated position within the Group's capital structure and supporting the planned renewal of the Club Loan.</w:t>
      </w:r>
    </w:p>
    <w:p>
      <w:pPr>
        <w:pStyle w:val="TextBody"/>
        <w:bidi w:val="0"/>
        <w:spacing w:lineRule="auto" w:line="268" w:before="60" w:after="283"/>
        <w:ind w:left="0" w:right="0" w:hanging="360"/>
        <w:jc w:val="both"/>
        <w:rPr/>
      </w:pPr>
      <w:r>
        <w:rPr>
          <w:color w:val="000000"/>
        </w:rPr>
        <w:t>•</w:t>
      </w:r>
      <w:r>
        <w:rPr>
          <w:rFonts w:ascii="Times New Roman;serif" w:hAnsi="Times New Roman;serif"/>
          <w:b w:val="false"/>
          <w:color w:val="000000"/>
          <w:sz w:val="20"/>
        </w:rPr>
        <w:t>Extension of the $300.0 million outstanding subordinated Geely shareholder term loan to June 30, 2027.</w:t>
      </w:r>
    </w:p>
    <w:p>
      <w:pPr>
        <w:pStyle w:val="TextBody"/>
        <w:bidi w:val="0"/>
        <w:spacing w:lineRule="auto" w:line="268" w:before="60" w:after="283"/>
        <w:ind w:left="0" w:right="0" w:hanging="360"/>
        <w:jc w:val="both"/>
        <w:rPr/>
      </w:pPr>
      <w:r>
        <w:rPr>
          <w:color w:val="000000"/>
        </w:rPr>
        <w:t>•</w:t>
      </w:r>
      <w:r>
        <w:rPr>
          <w:rFonts w:ascii="Times New Roman;serif" w:hAnsi="Times New Roman;serif"/>
          <w:b w:val="false"/>
          <w:color w:val="000000"/>
          <w:sz w:val="20"/>
        </w:rPr>
        <w:t>Increase of the Green Trade Finance Facility from €400.0 million to €450.0 million through the addition of Fubon Bank (Hong Kong) Limited as a new member of the lending syndicate.</w:t>
      </w:r>
    </w:p>
    <w:p>
      <w:pPr>
        <w:pStyle w:val="TextBody"/>
        <w:bidi w:val="0"/>
        <w:spacing w:lineRule="auto" w:line="240" w:before="60" w:after="120"/>
        <w:ind w:left="0" w:right="0" w:hanging="360"/>
        <w:jc w:val="both"/>
        <w:rPr/>
      </w:pPr>
      <w:r>
        <w:rPr>
          <w:color w:val="000000"/>
        </w:rPr>
        <w:t>•</w:t>
      </w:r>
      <w:r>
        <w:rPr>
          <w:rFonts w:ascii="Times New Roman;serif" w:hAnsi="Times New Roman;serif"/>
          <w:b w:val="false"/>
          <w:color w:val="000000"/>
          <w:sz w:val="20"/>
        </w:rPr>
        <w:t>Successful negotiation with lenders to amend the Club Loan financial covenants, including revised minimum revenue and debt-to-asset ratio thresholds aligned with management's updated business plan.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believes that these financing activities demonstrate the Group's continued access to capital funding and provide evidence supporting management's expectation that future financing activities can be successfully executed. Nevertheless, because future financing activities remain subject to factors outside management's control, material uncertainties continue to exist that cast significant doubt upon the Group's ability to continue as a going concern.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is party to financing instruments that contain financial covenants with which it must comply during, and beyond, the 12 months following the issuance date of these Unaudited Condensed Consolidated Interim Financial Statements including, but not limited to, a minimum quarterly cash level of €400.0 million, minimum annual revenue amounts, quarterly debt-to-asset ratio thresholds and maximum quarterly financial indebtedness of $5.5 billion. A failure to comply with these financial covenants could result in an event of default and acceleration of the related borrowings, which could have a material adverse effect on the Group's liquidity. Due to the factors discussed above, there is significant doubt as to whether Polestar will be able to comply with all covenants in future periods. Remedies to a potential event of default include proactively applying for a covenant waiver prior to such event of default occurring and active management of its debt profile, including optimizing the balance between senior and subordinated debt. During 2025, Polestar identified that it was at risk of breaching certain Club Loan covenants and, prior to any breach occurring, successfully obtained lender approval to amend the applicable covenant thresholds. In March 2026, the Group received further lender approval to amend the 2026 minimum annual revenue and debt-to-asset ratio covenant thresholds to align with management's updated business plan. Based on these amended thresholds, management's current forecasts and, assuming the successful execution of management's liquidity and funding plan, which includes the replacement of certain non-subordinated financings with subordinated financing arrangements in the near term, the Group expects to remain in compliance with its financial covenants throughout the twelve-month period following issuance of these Unaudited Condensed Consolidated Interim Financial Statements. However, there remains material uncertainty as to whether Polestar will comply with all covenants in future periods. Continued covenant compliance depends upon the successful execution of management's liquidity and funding plan and, if this does not occur, management cannot guarantee that future covenant waivers or amendments would be available if required.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60655"/>
                <wp:effectExtent l="0" t="0" r="0" b="0"/>
                <wp:wrapNone/>
                <wp:docPr id="37" name="Frame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2"/>
                              <w:jc w:val="center"/>
                              <w:rPr>
                                <w:rFonts w:ascii="Times New Roman;serif" w:hAnsi="Times New Roman;serif"/>
                                <w:b w:val="false"/>
                                <w:color w:val="000000"/>
                                <w:sz w:val="22"/>
                              </w:rPr>
                            </w:pPr>
                            <w:r>
                              <w:rPr>
                                <w:rFonts w:ascii="Times New Roman;serif" w:hAnsi="Times New Roman;serif"/>
                                <w:b w:val="false"/>
                                <w:color w:val="000000"/>
                                <w:sz w:val="22"/>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
                        <w:jc w:val="center"/>
                        <w:rPr>
                          <w:rFonts w:ascii="Times New Roman;serif" w:hAnsi="Times New Roman;serif"/>
                          <w:b w:val="false"/>
                          <w:color w:val="000000"/>
                          <w:sz w:val="22"/>
                        </w:rPr>
                      </w:pPr>
                      <w:r>
                        <w:rPr>
                          <w:rFonts w:ascii="Times New Roman;serif" w:hAnsi="Times New Roman;serif"/>
                          <w:b w:val="false"/>
                          <w:color w:val="000000"/>
                          <w:sz w:val="22"/>
                        </w:rPr>
                        <w:t>F-10</w:t>
                      </w:r>
                    </w:p>
                  </w:txbxContent>
                </v:textbox>
                <w10:wrap type="none"/>
              </v:rect>
            </w:pict>
          </mc:Fallback>
        </mc:AlternateContent>
      </w:r>
    </w:p>
    <w:p>
      <w:pPr>
        <w:pStyle w:val="TextBody"/>
        <w:bidi w:val="0"/>
        <w:spacing w:lineRule="auto" w:line="240" w:before="0" w:after="0"/>
        <w:jc w:val="center"/>
        <w:rPr>
          <w:rFonts w:ascii="Times New Roman;serif" w:hAnsi="Times New Roman;serif"/>
          <w:b w:val="false"/>
          <w:color w:val="B6B6B6"/>
          <w:sz w:val="18"/>
        </w:rPr>
      </w:pPr>
      <w:r>
        <w:rPr>
          <w:rFonts w:ascii="Times New Roman;serif" w:hAnsi="Times New Roman;serif"/>
          <w:b w:val="false"/>
          <w:color w:val="B6B6B6"/>
          <w:sz w:val="18"/>
        </w:rPr>
        <w:t>Notes to the Unaudited Condensed Consolidated Interim Financial Statements</w:t>
      </w:r>
    </w:p>
    <w:p>
      <w:pPr>
        <w:pStyle w:val="TextBody"/>
        <w:bidi w:val="0"/>
        <w:spacing w:lineRule="auto" w:line="319" w:before="0" w:after="2"/>
        <w:jc w:val="center"/>
        <w:rPr>
          <w:rFonts w:ascii="Times New Roman;serif" w:hAnsi="Times New Roman;serif"/>
          <w:b w:val="false"/>
          <w:color w:val="B6B6B6"/>
          <w:sz w:val="18"/>
        </w:rPr>
      </w:pPr>
      <w:r>
        <w:rPr>
          <w:rFonts w:ascii="Times New Roman;serif" w:hAnsi="Times New Roman;serif"/>
          <w:b w:val="false"/>
          <w:color w:val="B6B6B6"/>
          <w:sz w:val="18"/>
        </w:rPr>
        <w:t>(in thousands of U.S. dollars unless otherwise stated)</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Management forecasts sufficient liquidity throughout the twelve-month period following the issuance date of these Unaudited Condensed Consolidated Interim Financial Statements, assuming the successful execution of its planned financing actions. Under this forecast, the Group expects to meet its forecast cash flow requirements and remain in compliance with its applicable financial covenants. However, because the successful execution of certain financing activities is not entirely within management's control, material uncertainties related to events and conditions remain that may cast significant doubt upon the Group's ability to continue as a going concern. Nevertheless, management concluded that the going concern basis of accounting remains appropriate in preparing these Unaudited Condensed Consolidated Interim Financial Statements. Accordingly, these Unaudited Condensed Consolidated Interim Financial Statements do not include any adjustments that might result should the Group be unable to continue as a going concern.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Note 2 - Material accounting policies and judgements</w:t>
      </w:r>
    </w:p>
    <w:p>
      <w:pPr>
        <w:pStyle w:val="TextBody"/>
        <w:bidi w:val="0"/>
        <w:spacing w:lineRule="auto" w:line="240" w:before="120" w:after="283"/>
        <w:jc w:val="both"/>
        <w:rPr/>
      </w:pPr>
      <w:r>
        <w:rPr>
          <w:rFonts w:ascii="Times New Roman;serif" w:hAnsi="Times New Roman;serif"/>
          <w:b w:val="false"/>
          <w:color w:val="000000"/>
          <w:sz w:val="20"/>
        </w:rPr>
        <w:t xml:space="preserve">Except for the changes described below, Polestar Group continues to apply the same accounting policies as described in </w:t>
      </w:r>
      <w:r>
        <w:rPr>
          <w:rFonts w:ascii="Times New Roman;serif" w:hAnsi="Times New Roman;serif"/>
          <w:b w:val="false"/>
          <w:i/>
          <w:color w:val="000000"/>
          <w:sz w:val="20"/>
        </w:rPr>
        <w:t xml:space="preserve">Note 2 - Material accounting policies and use of significant judgements and estimates </w:t>
      </w:r>
      <w:r>
        <w:rPr>
          <w:rFonts w:ascii="Times New Roman;serif" w:hAnsi="Times New Roman;serif"/>
          <w:b w:val="false"/>
          <w:color w:val="000000"/>
          <w:sz w:val="20"/>
        </w:rPr>
        <w:t xml:space="preserve">of the 2025 Consolidated Financial Statements. </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Provisions and contingent liabilities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Restructuring provisions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Restructuring provisions relate to planned reorganization or restructuring that materially change either the scope of Polestar's business or the manner in which it is conducted. Costs related to restructuring generally comprise employee severance packages, facility closure costs, and other costs related to business reorganization. A restructuring provision is recognized when Polestar has a detailed formal plan for the restructuring and has raised a valid expectation in those affected that the restructuring will be carried out by starting to implement the plan or announcing its main features. </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Adoption of new and amended standards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Effects of new and amended IFRS</w:t>
      </w:r>
    </w:p>
    <w:p>
      <w:pPr>
        <w:pStyle w:val="TextBody"/>
        <w:bidi w:val="0"/>
        <w:spacing w:lineRule="auto" w:line="240" w:before="120" w:after="283"/>
        <w:jc w:val="both"/>
        <w:rPr/>
      </w:pPr>
      <w:r>
        <w:rPr>
          <w:rFonts w:ascii="Times New Roman;serif" w:hAnsi="Times New Roman;serif"/>
          <w:b w:val="false"/>
          <w:color w:val="000000"/>
          <w:sz w:val="20"/>
        </w:rPr>
        <w:t xml:space="preserve">In December 2024, the IASB issued amendments to IFRS 9, </w:t>
      </w:r>
      <w:r>
        <w:rPr>
          <w:rFonts w:ascii="Times New Roman;serif" w:hAnsi="Times New Roman;serif"/>
          <w:b w:val="false"/>
          <w:i/>
          <w:color w:val="000000"/>
          <w:sz w:val="20"/>
        </w:rPr>
        <w:t>Financial Instruments</w:t>
      </w:r>
      <w:r>
        <w:rPr>
          <w:rFonts w:ascii="Times New Roman;serif" w:hAnsi="Times New Roman;serif"/>
          <w:b w:val="false"/>
          <w:color w:val="000000"/>
          <w:sz w:val="20"/>
        </w:rPr>
        <w:t xml:space="preserve">, and IFRS 7, </w:t>
      </w:r>
      <w:r>
        <w:rPr>
          <w:rFonts w:ascii="Times New Roman;serif" w:hAnsi="Times New Roman;serif"/>
          <w:b w:val="false"/>
          <w:i/>
          <w:color w:val="000000"/>
          <w:sz w:val="20"/>
        </w:rPr>
        <w:t>Financial Instruments: Disclosures</w:t>
      </w:r>
      <w:r>
        <w:rPr>
          <w:rFonts w:ascii="Times New Roman;serif" w:hAnsi="Times New Roman;serif"/>
          <w:b w:val="false"/>
          <w:color w:val="000000"/>
          <w:sz w:val="20"/>
        </w:rPr>
        <w:t xml:space="preserve">, as well as </w:t>
      </w:r>
      <w:r>
        <w:rPr>
          <w:rFonts w:ascii="Times New Roman;serif" w:hAnsi="Times New Roman;serif"/>
          <w:b w:val="false"/>
          <w:i/>
          <w:color w:val="000000"/>
          <w:sz w:val="20"/>
        </w:rPr>
        <w:t>Annual Improvements to IFRS Accounting Standards-Volume 11</w:t>
      </w:r>
      <w:r>
        <w:rPr>
          <w:rFonts w:ascii="Times New Roman;serif" w:hAnsi="Times New Roman;serif"/>
          <w:b w:val="false"/>
          <w:color w:val="000000"/>
          <w:sz w:val="20"/>
        </w:rPr>
        <w:t>. These amendments became effective for annual periods beginning on or after January 1, 2026. Management assessed the impact of adopting these amendments and concluded that they did not have a material impact on the Unaudited Condensed Consolidated Interim Financial Statements.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New and amended IFRS issued but not yet effective </w:t>
      </w:r>
    </w:p>
    <w:p>
      <w:pPr>
        <w:pStyle w:val="TextBody"/>
        <w:bidi w:val="0"/>
        <w:spacing w:lineRule="auto" w:line="240" w:before="120" w:after="283"/>
        <w:jc w:val="both"/>
        <w:rPr/>
      </w:pPr>
      <w:r>
        <w:rPr>
          <w:rFonts w:ascii="Times New Roman;serif" w:hAnsi="Times New Roman;serif"/>
          <w:b w:val="false"/>
          <w:color w:val="000000"/>
          <w:sz w:val="20"/>
        </w:rPr>
        <w:t xml:space="preserve">Management has assessed the new and amended accounting standards issued during the six months ended June 30, 2026 but not yet effective and concluded that their adoption will not have a material impact on the Group when they become effective. Management's assessment of the other new and amended IFRS issued has not changed from that described in </w:t>
      </w:r>
      <w:r>
        <w:rPr>
          <w:rFonts w:ascii="Times New Roman;serif" w:hAnsi="Times New Roman;serif"/>
          <w:b w:val="false"/>
          <w:i/>
          <w:color w:val="000000"/>
          <w:sz w:val="20"/>
        </w:rPr>
        <w:t xml:space="preserve">Note 2 - Material accounting policies and use of significant judgements and estimates </w:t>
      </w:r>
      <w:r>
        <w:rPr>
          <w:rFonts w:ascii="Times New Roman;serif" w:hAnsi="Times New Roman;serif"/>
          <w:b w:val="false"/>
          <w:color w:val="000000"/>
          <w:sz w:val="20"/>
        </w:rPr>
        <w:t>of the 2025 Consolidated Financial Statements.</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Use of estimates and judgements</w:t>
      </w:r>
    </w:p>
    <w:p>
      <w:pPr>
        <w:pStyle w:val="TextBody"/>
        <w:bidi w:val="0"/>
        <w:spacing w:lineRule="auto" w:line="240" w:before="120" w:after="2"/>
        <w:jc w:val="both"/>
        <w:rPr>
          <w:rFonts w:ascii="Times New Roman;serif" w:hAnsi="Times New Roman;serif"/>
          <w:b w:val="false"/>
          <w:color w:val="000000"/>
          <w:sz w:val="20"/>
        </w:rPr>
      </w:pPr>
      <w:r>
        <w:rPr>
          <w:rFonts w:ascii="Times New Roman;serif" w:hAnsi="Times New Roman;serif"/>
          <w:b w:val="false"/>
          <w:color w:val="000000"/>
          <w:sz w:val="20"/>
        </w:rPr>
        <w:t>In preparing these Unaudited Condensed Consolidated Interim Financial Statements, management has made judgements and estimates about the future that affect the application of accounting policies and the reported amounts of assets and liabilities, income and expense. Actual results may differ from these estimates.</w:t>
      </w:r>
    </w:p>
    <w:p>
      <w:pPr>
        <w:pStyle w:val="TextBody"/>
        <w:bidi w:val="0"/>
        <w:spacing w:lineRule="auto" w:line="240" w:before="120" w:after="2"/>
        <w:jc w:val="both"/>
        <w:rPr>
          <w:rFonts w:ascii="Times New Roman;serif" w:hAnsi="Times New Roman;serif"/>
          <w:b w:val="false"/>
          <w:color w:val="000000"/>
          <w:sz w:val="20"/>
        </w:rPr>
      </w:pPr>
      <w:r>
        <w:rPr>
          <w:rFonts w:ascii="Times New Roman;serif" w:hAnsi="Times New Roman;serif"/>
          <w:b w:val="false"/>
          <w:color w:val="000000"/>
          <w:sz w:val="20"/>
        </w:rPr>
        <w:t>The significant judgements made by management in applying the Group's accounting policies and the key sources of estimation uncertainty were materially the same as those described in the 2025 Consolidated Financial Statements with the following additional considerations / modifications:</w:t>
      </w:r>
    </w:p>
    <w:p>
      <w:pPr>
        <w:pStyle w:val="TextBody"/>
        <w:bidi w:val="0"/>
        <w:spacing w:lineRule="auto" w:line="240" w:before="120" w:after="2"/>
        <w:ind w:left="0" w:right="0" w:hanging="360"/>
        <w:jc w:val="both"/>
        <w:rPr/>
      </w:pPr>
      <w:r>
        <w:rPr>
          <w:color w:val="000000"/>
        </w:rPr>
        <w:t>•</w:t>
      </w:r>
      <w:r>
        <w:rPr>
          <w:rFonts w:ascii="Times New Roman;serif" w:hAnsi="Times New Roman;serif"/>
          <w:b w:val="false"/>
          <w:color w:val="000000"/>
          <w:sz w:val="20"/>
        </w:rPr>
        <w:t xml:space="preserve">Revenue - in addition to the judgements and estimates related to revenue described in the 2025 Consolidated Financial Statements, as of June 30, 2026 further estimates were necessary in relation to residual value guarantees. Following the decision of the U.S. Department of Commerce's Bureau of Industry and Security not to grant Polestar an authorization under the current Connected Vehicle Rule to sell vehicles in the U.S. from model year 2027 onwards (refer to </w:t>
      </w:r>
      <w:r>
        <w:rPr>
          <w:rFonts w:ascii="Times New Roman;serif" w:hAnsi="Times New Roman;serif"/>
          <w:b w:val="false"/>
          <w:i/>
          <w:color w:val="000000"/>
          <w:sz w:val="20"/>
        </w:rPr>
        <w:t>Note 1 - Overview and basis of preparation</w:t>
      </w:r>
      <w:r>
        <w:rPr>
          <w:rFonts w:ascii="Times New Roman;serif" w:hAnsi="Times New Roman;serif"/>
          <w:b w:val="false"/>
          <w:color w:val="000000"/>
          <w:sz w:val="20"/>
        </w:rPr>
        <w:t>), management determined that the residual value information obtained from third-party sources at June 30, 2026 did not yet reflect the potential negative impact of this decision on the residual values of the vehicles in the U.S. lease portfolio. Therefore, management made an estimate of this potential impact and adjusted down the residual values used to calculate the refund liability and revenue adjustment related to the residual value guarantees. Changes in expected residual values could result in changes to the amount recognized in future periods.</w:t>
      </w:r>
    </w:p>
    <w:p>
      <w:pPr>
        <w:pStyle w:val="TextBody"/>
        <w:bidi w:val="0"/>
        <w:spacing w:lineRule="auto" w:line="240" w:before="120" w:after="2"/>
        <w:ind w:left="0" w:right="0" w:hanging="360"/>
        <w:jc w:val="both"/>
        <w:rPr/>
      </w:pPr>
      <w:r>
        <w:rPr>
          <w:color w:val="000000"/>
        </w:rPr>
        <w:t>•</w:t>
      </w:r>
      <w:r>
        <w:rPr>
          <w:rFonts w:ascii="Times New Roman;serif" w:hAnsi="Times New Roman;serif"/>
          <w:b w:val="false"/>
          <w:color w:val="000000"/>
          <w:sz w:val="20"/>
        </w:rPr>
        <w:t>Impairment of PPE, intangible assets and goodwill - as described in the 2025 Consolidated Financial Statements. Polestar conducts routine evaluations of its PPE, intangible assets, and goodwill for evidence of impairment indicators.</w:t>
      </w:r>
    </w:p>
    <w:p>
      <w:pPr>
        <w:pStyle w:val="TextBody"/>
        <w:bidi w:val="0"/>
        <w:spacing w:lineRule="auto" w:line="240" w:before="120" w:after="2"/>
        <w:ind w:left="0" w:right="0" w:hanging="360"/>
        <w:jc w:val="both"/>
        <w:rPr/>
      </w:pPr>
      <w:r>
        <w:rPr>
          <w:color w:val="000000"/>
        </w:rPr>
        <w:t>◦</w:t>
      </w:r>
      <w:r>
        <w:rPr>
          <w:rFonts w:ascii="Times New Roman;serif" w:hAnsi="Times New Roman;serif"/>
          <w:b w:val="false"/>
          <w:i/>
          <w:color w:val="000000"/>
          <w:sz w:val="20"/>
        </w:rPr>
        <w:t>Judgements</w:t>
      </w:r>
      <w:r>
        <w:rPr>
          <w:rFonts w:ascii="Times New Roman;serif" w:hAnsi="Times New Roman;serif"/>
          <w:b w:val="false"/>
          <w:color w:val="000000"/>
          <w:sz w:val="20"/>
        </w:rPr>
        <w:t xml:space="preserve">: Polestar applies judgement in assessing whether events or changes in circumstances indicate that the carrying amount of its non-financial assets may not be recoverable. As of June 30, 2026, management considered, among other factors, changes in the market for battery electric vehicles and the impact these have on management's updated forecasts and the effects of the decision of the U.S. Department of Commerce's Bureau of Industry and Security not to grant Polestar an authorization under the current Connected Vehicle Rule to sell vehicles in the U.S. from model year 2027 onwards (refer to </w:t>
      </w:r>
      <w:r>
        <w:rPr>
          <w:rFonts w:ascii="Times New Roman;serif" w:hAnsi="Times New Roman;serif"/>
          <w:b w:val="false"/>
          <w:i/>
          <w:color w:val="000000"/>
          <w:sz w:val="20"/>
        </w:rPr>
        <w:t>Note 1 - Overview and basis of preparation</w:t>
      </w:r>
      <w:r>
        <w:rPr>
          <w:rFonts w:ascii="Times New Roman;serif" w:hAnsi="Times New Roman;serif"/>
          <w:b w:val="false"/>
          <w:color w:val="000000"/>
          <w:sz w:val="20"/>
        </w:rPr>
        <w:t>). Management concluded that there were no indicators of impairment for the Group's cash-generating units with material long-term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60655"/>
                <wp:effectExtent l="0" t="0" r="0" b="0"/>
                <wp:wrapNone/>
                <wp:docPr id="38" name="Frame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2"/>
                              <w:jc w:val="center"/>
                              <w:rPr>
                                <w:rFonts w:ascii="Times New Roman;serif" w:hAnsi="Times New Roman;serif"/>
                                <w:b w:val="false"/>
                                <w:color w:val="000000"/>
                                <w:sz w:val="22"/>
                              </w:rPr>
                            </w:pPr>
                            <w:r>
                              <w:rPr>
                                <w:rFonts w:ascii="Times New Roman;serif" w:hAnsi="Times New Roman;serif"/>
                                <w:b w:val="false"/>
                                <w:color w:val="000000"/>
                                <w:sz w:val="22"/>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
                        <w:jc w:val="center"/>
                        <w:rPr>
                          <w:rFonts w:ascii="Times New Roman;serif" w:hAnsi="Times New Roman;serif"/>
                          <w:b w:val="false"/>
                          <w:color w:val="000000"/>
                          <w:sz w:val="22"/>
                        </w:rPr>
                      </w:pPr>
                      <w:r>
                        <w:rPr>
                          <w:rFonts w:ascii="Times New Roman;serif" w:hAnsi="Times New Roman;serif"/>
                          <w:b w:val="false"/>
                          <w:color w:val="000000"/>
                          <w:sz w:val="22"/>
                        </w:rPr>
                        <w:t>F-11</w:t>
                      </w:r>
                    </w:p>
                  </w:txbxContent>
                </v:textbox>
                <w10:wrap type="none"/>
              </v:rect>
            </w:pict>
          </mc:Fallback>
        </mc:AlternateContent>
      </w:r>
    </w:p>
    <w:p>
      <w:pPr>
        <w:pStyle w:val="TextBody"/>
        <w:bidi w:val="0"/>
        <w:spacing w:lineRule="auto" w:line="240" w:before="0" w:after="0"/>
        <w:jc w:val="center"/>
        <w:rPr>
          <w:rFonts w:ascii="Times New Roman;serif" w:hAnsi="Times New Roman;serif"/>
          <w:b w:val="false"/>
          <w:color w:val="B6B6B6"/>
          <w:sz w:val="18"/>
        </w:rPr>
      </w:pPr>
      <w:r>
        <w:rPr>
          <w:rFonts w:ascii="Times New Roman;serif" w:hAnsi="Times New Roman;serif"/>
          <w:b w:val="false"/>
          <w:color w:val="B6B6B6"/>
          <w:sz w:val="18"/>
        </w:rPr>
        <w:t>Notes to the Unaudited Condensed Consolidated Interim Financial Statements</w:t>
      </w:r>
    </w:p>
    <w:p>
      <w:pPr>
        <w:pStyle w:val="TextBody"/>
        <w:bidi w:val="0"/>
        <w:spacing w:lineRule="auto" w:line="319" w:before="0" w:after="2"/>
        <w:jc w:val="center"/>
        <w:rPr>
          <w:rFonts w:ascii="Times New Roman;serif" w:hAnsi="Times New Roman;serif"/>
          <w:b w:val="false"/>
          <w:color w:val="B6B6B6"/>
          <w:sz w:val="18"/>
        </w:rPr>
      </w:pPr>
      <w:r>
        <w:rPr>
          <w:rFonts w:ascii="Times New Roman;serif" w:hAnsi="Times New Roman;serif"/>
          <w:b w:val="false"/>
          <w:color w:val="B6B6B6"/>
          <w:sz w:val="18"/>
        </w:rPr>
        <w:t>(in thousands of U.S. dollars unless otherwise stated)</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Voluntary re-presentation from previous year</w:t>
      </w:r>
    </w:p>
    <w:p>
      <w:pPr>
        <w:pStyle w:val="TextBody"/>
        <w:bidi w:val="0"/>
        <w:spacing w:lineRule="auto" w:line="240" w:before="120" w:after="2"/>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improve the clarity and consistency of the presentation of the Group's profit and loss, during the current reporting period, the Group has altered the presentation of certain financial statement line items in the Condensed Consolidated Statement of Loss and Comprehensive Loss. The presentation of the comparative information has been adjusted accordingly to ensure consistency with the current period's presentation.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Unaudited Condensed Consolidated Statement of Loss and Comprehensive Loss</w:t>
      </w:r>
    </w:p>
    <w:p>
      <w:pPr>
        <w:pStyle w:val="TextBody"/>
        <w:bidi w:val="0"/>
        <w:spacing w:lineRule="auto" w:line="240" w:before="120" w:after="283"/>
        <w:jc w:val="both"/>
        <w:rPr/>
      </w:pPr>
      <w:r>
        <w:rPr>
          <w:rFonts w:ascii="Times New Roman;serif" w:hAnsi="Times New Roman;serif"/>
          <w:b w:val="false"/>
          <w:color w:val="000000"/>
          <w:sz w:val="20"/>
        </w:rPr>
        <w:t>The comparative period ended June 30, 2025</w:t>
      </w:r>
      <w:r>
        <w:rPr>
          <w:color w:val="000000"/>
        </w:rPr>
        <w:t xml:space="preserve"> </w:t>
      </w:r>
      <w:r>
        <w:rPr>
          <w:rFonts w:ascii="Times New Roman;serif" w:hAnsi="Times New Roman;serif"/>
          <w:b w:val="false"/>
          <w:color w:val="000000"/>
          <w:sz w:val="22"/>
        </w:rPr>
        <w:t xml:space="preserve">in the </w:t>
      </w:r>
      <w:r>
        <w:rPr>
          <w:rFonts w:ascii="Times New Roman;serif" w:hAnsi="Times New Roman;serif"/>
          <w:b w:val="false"/>
          <w:color w:val="000000"/>
          <w:sz w:val="20"/>
        </w:rPr>
        <w:t>Unaudited Condensed Consolidated Statement of Loss and Comprehensive Loss has been presented considering the changes described above.</w:t>
      </w:r>
    </w:p>
    <w:tbl>
      <w:tblPr>
        <w:tblW w:w="10205" w:type="dxa"/>
        <w:jc w:val="left"/>
        <w:tblInd w:w="0" w:type="dxa"/>
        <w:tblLayout w:type="fixed"/>
        <w:tblCellMar>
          <w:top w:w="28" w:type="dxa"/>
          <w:left w:w="28" w:type="dxa"/>
          <w:bottom w:w="28" w:type="dxa"/>
          <w:right w:w="28" w:type="dxa"/>
        </w:tblCellMar>
      </w:tblPr>
      <w:tblGrid>
        <w:gridCol w:w="1517"/>
        <w:gridCol w:w="1286"/>
        <w:gridCol w:w="1271"/>
        <w:gridCol w:w="145"/>
        <w:gridCol w:w="145"/>
        <w:gridCol w:w="146"/>
        <w:gridCol w:w="666"/>
        <w:gridCol w:w="607"/>
        <w:gridCol w:w="584"/>
        <w:gridCol w:w="787"/>
        <w:gridCol w:w="787"/>
        <w:gridCol w:w="788"/>
        <w:gridCol w:w="622"/>
        <w:gridCol w:w="413"/>
        <w:gridCol w:w="441"/>
      </w:tblGrid>
      <w:tr>
        <w:trPr/>
        <w:tc>
          <w:tcPr>
            <w:tcW w:w="1517"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407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5" w:type="dxa"/>
            <w:gridSpan w:val="9"/>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For the six months ended June 30, 2025</w:t>
            </w:r>
          </w:p>
        </w:tc>
      </w:tr>
      <w:tr>
        <w:trPr/>
        <w:tc>
          <w:tcPr>
            <w:tcW w:w="4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Ref.</w:t>
            </w:r>
          </w:p>
        </w:tc>
        <w:tc>
          <w:tcPr>
            <w:tcW w:w="18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As previously reported</w:t>
            </w:r>
          </w:p>
        </w:tc>
        <w:tc>
          <w:tcPr>
            <w:tcW w:w="23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Impact of presentation changes</w:t>
            </w:r>
          </w:p>
        </w:tc>
        <w:tc>
          <w:tcPr>
            <w:tcW w:w="14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As revised</w:t>
            </w:r>
          </w:p>
        </w:tc>
      </w:tr>
      <w:tr>
        <w:trPr/>
        <w:tc>
          <w:tcPr>
            <w:tcW w:w="407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4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1,422,605 </w:t>
            </w:r>
          </w:p>
        </w:tc>
        <w:tc>
          <w:tcPr>
            <w:tcW w:w="58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8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1,422,605 </w:t>
            </w:r>
          </w:p>
        </w:tc>
        <w:tc>
          <w:tcPr>
            <w:tcW w:w="4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(2,125,729)</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(2,125,729)</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Impairment expense, net of reversals</w:t>
            </w:r>
          </w:p>
        </w:tc>
        <w:tc>
          <w:tcPr>
            <w:tcW w:w="4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(723,524)</w:t>
            </w:r>
          </w:p>
        </w:tc>
        <w:tc>
          <w:tcPr>
            <w:tcW w:w="5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8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(723,524)</w:t>
            </w:r>
          </w:p>
        </w:tc>
        <w:tc>
          <w:tcPr>
            <w:tcW w:w="4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Other cost of sales</w:t>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(1,402,205)</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(1,402,205)</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Gross loss</w:t>
            </w:r>
          </w:p>
        </w:tc>
        <w:tc>
          <w:tcPr>
            <w:tcW w:w="4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(703,124)</w:t>
            </w:r>
          </w:p>
        </w:tc>
        <w:tc>
          <w:tcPr>
            <w:tcW w:w="58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8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(703,124)</w:t>
            </w:r>
          </w:p>
        </w:tc>
        <w:tc>
          <w:tcPr>
            <w:tcW w:w="4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(431,283)</w:t>
            </w:r>
          </w:p>
        </w:tc>
        <w:tc>
          <w:tcPr>
            <w:tcW w:w="5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(431,283)</w:t>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4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(31,262)</w:t>
            </w:r>
          </w:p>
        </w:tc>
        <w:tc>
          <w:tcPr>
            <w:tcW w:w="5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8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(31,262)</w:t>
            </w:r>
          </w:p>
        </w:tc>
        <w:tc>
          <w:tcPr>
            <w:tcW w:w="4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Other operating income (expense), net</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70,075 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(70,075)</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Other operating income</w:t>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41,087 </w:t>
            </w:r>
          </w:p>
        </w:tc>
        <w:tc>
          <w:tcPr>
            <w:tcW w:w="78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41,087 </w:t>
            </w:r>
          </w:p>
        </w:tc>
        <w:tc>
          <w:tcPr>
            <w:tcW w:w="4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Other operating expense</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(20,333)</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(20,333)</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Foreign exchange gains (losses) on operating activities, net</w:t>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49,321 </w:t>
            </w:r>
          </w:p>
        </w:tc>
        <w:tc>
          <w:tcPr>
            <w:tcW w:w="78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49,321 </w:t>
            </w:r>
          </w:p>
        </w:tc>
        <w:tc>
          <w:tcPr>
            <w:tcW w:w="4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Operating loss</w:t>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(1,095,594)</w:t>
            </w:r>
          </w:p>
        </w:tc>
        <w:tc>
          <w:tcPr>
            <w:tcW w:w="5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(1,095,594)</w:t>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Finance income</w:t>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127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52,797 </w:t>
            </w:r>
          </w:p>
        </w:tc>
        <w:tc>
          <w:tcPr>
            <w:tcW w:w="58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(49,382)</w:t>
            </w:r>
          </w:p>
        </w:tc>
        <w:tc>
          <w:tcPr>
            <w:tcW w:w="78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3,415 </w:t>
            </w:r>
          </w:p>
        </w:tc>
        <w:tc>
          <w:tcPr>
            <w:tcW w:w="4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Finance expense</w:t>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(185,319)</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(185,319)</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Foreign exchange gains (losses) on financial activities, net</w:t>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49,382 </w:t>
            </w:r>
          </w:p>
        </w:tc>
        <w:tc>
          <w:tcPr>
            <w:tcW w:w="78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49,382 </w:t>
            </w:r>
          </w:p>
        </w:tc>
        <w:tc>
          <w:tcPr>
            <w:tcW w:w="4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4"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1857" w:type="dxa"/>
            <w:gridSpan w:val="3"/>
            <w:tcBorders/>
            <w:vAlign w:val="center"/>
          </w:tcPr>
          <w:p>
            <w:pPr>
              <w:pStyle w:val="TableContents"/>
              <w:bidi w:val="0"/>
              <w:spacing w:before="0" w:after="283"/>
              <w:jc w:val="left"/>
              <w:rPr>
                <w:sz w:val="4"/>
                <w:szCs w:val="4"/>
              </w:rPr>
            </w:pPr>
            <w:r>
              <w:rPr>
                <w:sz w:val="4"/>
                <w:szCs w:val="4"/>
              </w:rPr>
            </w:r>
          </w:p>
        </w:tc>
        <w:tc>
          <w:tcPr>
            <w:tcW w:w="2362"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4074"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1857" w:type="dxa"/>
            <w:gridSpan w:val="3"/>
            <w:tcBorders/>
            <w:vAlign w:val="center"/>
          </w:tcPr>
          <w:p>
            <w:pPr>
              <w:pStyle w:val="TableContents"/>
              <w:bidi w:val="0"/>
              <w:spacing w:before="0" w:after="283"/>
              <w:jc w:val="left"/>
              <w:rPr>
                <w:sz w:val="4"/>
                <w:szCs w:val="4"/>
              </w:rPr>
            </w:pPr>
            <w:r>
              <w:rPr>
                <w:sz w:val="4"/>
                <w:szCs w:val="4"/>
              </w:rPr>
            </w:r>
          </w:p>
        </w:tc>
        <w:tc>
          <w:tcPr>
            <w:tcW w:w="2362"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407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Fair value change - Class C Shares and Earn-out rights</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15,813 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15,813 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Share of losses in associates</w:t>
            </w:r>
          </w:p>
        </w:tc>
        <w:tc>
          <w:tcPr>
            <w:tcW w:w="4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(24,261)</w:t>
            </w:r>
          </w:p>
        </w:tc>
        <w:tc>
          <w:tcPr>
            <w:tcW w:w="5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8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(24,261)</w:t>
            </w:r>
          </w:p>
        </w:tc>
        <w:tc>
          <w:tcPr>
            <w:tcW w:w="4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Loss before income taxes</w:t>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(1,236,564)</w:t>
            </w:r>
          </w:p>
        </w:tc>
        <w:tc>
          <w:tcPr>
            <w:tcW w:w="5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(1,236,564)</w:t>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4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43,485 </w:t>
            </w:r>
          </w:p>
        </w:tc>
        <w:tc>
          <w:tcPr>
            <w:tcW w:w="58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8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43,485 </w:t>
            </w:r>
          </w:p>
        </w:tc>
        <w:tc>
          <w:tcPr>
            <w:tcW w:w="4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Net loss</w:t>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(1,193,079)</w:t>
            </w:r>
          </w:p>
        </w:tc>
        <w:tc>
          <w:tcPr>
            <w:tcW w:w="58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color w:val="000000"/>
              </w:rPr>
            </w:pPr>
            <w:r>
              <w:rPr>
                <w:color w:val="000000"/>
              </w:rPr>
              <w:t>— </w:t>
            </w:r>
          </w:p>
        </w:tc>
        <w:tc>
          <w:tcPr>
            <w:tcW w:w="78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(1,193,079)</w:t>
            </w:r>
          </w:p>
        </w:tc>
        <w:tc>
          <w:tcPr>
            <w:tcW w:w="4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rFonts w:ascii="Times New Roman;serif" w:hAnsi="Times New Roman;serif"/>
          <w:b w:val="false"/>
          <w:i/>
          <w:color w:val="000000"/>
          <w:sz w:val="20"/>
        </w:rPr>
      </w:pPr>
      <w:r>
        <w:rPr>
          <w:rFonts w:ascii="Times New Roman;serif" w:hAnsi="Times New Roman;serif"/>
          <w:b w:val="false"/>
          <w:i/>
          <w:color w:val="000000"/>
          <w:sz w:val="20"/>
        </w:rPr>
        <w:t>Operational results (a)</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other income and expense were previously presented net, and the revised change presents the other operating income, other operating expense and the foreign exchange results separately. This breakdown improves transparency, allowing the reader to clearly distinguish income, expense, and currency impacts within the Company's operating results. </w:t>
      </w:r>
    </w:p>
    <w:p>
      <w:pPr>
        <w:pStyle w:val="TextBody"/>
        <w:bidi w:val="0"/>
        <w:spacing w:lineRule="auto" w:line="240" w:before="120" w:after="283"/>
        <w:jc w:val="both"/>
        <w:rPr>
          <w:rFonts w:ascii="Times New Roman;serif" w:hAnsi="Times New Roman;serif"/>
          <w:b w:val="false"/>
          <w:i/>
          <w:color w:val="000000"/>
          <w:sz w:val="20"/>
        </w:rPr>
      </w:pPr>
      <w:r>
        <w:rPr>
          <w:rFonts w:ascii="Times New Roman;serif" w:hAnsi="Times New Roman;serif"/>
          <w:b w:val="false"/>
          <w:i/>
          <w:color w:val="000000"/>
          <w:sz w:val="20"/>
        </w:rPr>
        <w:t>Financial results (b)</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Foreign exchange results were segregated in the revised consolidated profit and loss to provide a clearer view of financial gains and losses from currency fluctuations.</w:t>
      </w:r>
    </w:p>
    <w:p>
      <w:pPr>
        <w:pStyle w:val="TextBody"/>
        <w:bidi w:val="0"/>
        <w:spacing w:lineRule="auto" w:line="240" w:before="120" w:after="283"/>
        <w:jc w:val="left"/>
        <w:rPr>
          <w:rFonts w:ascii="Times New Roman;serif" w:hAnsi="Times New Roman;serif"/>
          <w:b w:val="false"/>
          <w:i/>
          <w:color w:val="000000"/>
          <w:sz w:val="20"/>
        </w:rPr>
      </w:pPr>
      <w:r>
        <w:rPr>
          <w:rFonts w:ascii="Times New Roman;serif" w:hAnsi="Times New Roman;serif"/>
          <w:b w:val="false"/>
          <w:i/>
          <w:color w:val="000000"/>
          <w:sz w:val="20"/>
        </w:rPr>
        <w:t>Results of fair value changes (c)</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lines of fair value changes from Earn-out rights and Class C Shares were previously disclosed separately. Given their nature and materiality, those lines were aggregated in one line item, called "Fair value changes - Earn-out rights and Class C shares".</w:t>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60655"/>
                <wp:effectExtent l="0" t="0" r="0" b="0"/>
                <wp:wrapNone/>
                <wp:docPr id="39" name="Frame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2"/>
                              <w:jc w:val="center"/>
                              <w:rPr>
                                <w:rFonts w:ascii="Times New Roman;serif" w:hAnsi="Times New Roman;serif"/>
                                <w:b w:val="false"/>
                                <w:color w:val="000000"/>
                                <w:sz w:val="22"/>
                              </w:rPr>
                            </w:pPr>
                            <w:r>
                              <w:rPr>
                                <w:rFonts w:ascii="Times New Roman;serif" w:hAnsi="Times New Roman;serif"/>
                                <w:b w:val="false"/>
                                <w:color w:val="000000"/>
                                <w:sz w:val="22"/>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
                        <w:jc w:val="center"/>
                        <w:rPr>
                          <w:rFonts w:ascii="Times New Roman;serif" w:hAnsi="Times New Roman;serif"/>
                          <w:b w:val="false"/>
                          <w:color w:val="000000"/>
                          <w:sz w:val="22"/>
                        </w:rPr>
                      </w:pPr>
                      <w:r>
                        <w:rPr>
                          <w:rFonts w:ascii="Times New Roman;serif" w:hAnsi="Times New Roman;serif"/>
                          <w:b w:val="false"/>
                          <w:color w:val="000000"/>
                          <w:sz w:val="22"/>
                        </w:rPr>
                        <w:t>F-12</w:t>
                      </w:r>
                    </w:p>
                  </w:txbxContent>
                </v:textbox>
                <w10:wrap type="none"/>
              </v:rect>
            </w:pict>
          </mc:Fallback>
        </mc:AlternateContent>
      </w:r>
    </w:p>
    <w:p>
      <w:pPr>
        <w:pStyle w:val="TextBody"/>
        <w:bidi w:val="0"/>
        <w:spacing w:lineRule="auto" w:line="240" w:before="0" w:after="0"/>
        <w:jc w:val="center"/>
        <w:rPr>
          <w:rFonts w:ascii="Times New Roman;serif" w:hAnsi="Times New Roman;serif"/>
          <w:b w:val="false"/>
          <w:color w:val="B6B6B6"/>
          <w:sz w:val="18"/>
        </w:rPr>
      </w:pPr>
      <w:r>
        <w:rPr>
          <w:rFonts w:ascii="Times New Roman;serif" w:hAnsi="Times New Roman;serif"/>
          <w:b w:val="false"/>
          <w:color w:val="B6B6B6"/>
          <w:sz w:val="18"/>
        </w:rPr>
        <w:t>Notes to the Unaudited Condensed Consolidated Interim Financial Statements</w:t>
      </w:r>
    </w:p>
    <w:p>
      <w:pPr>
        <w:pStyle w:val="TextBody"/>
        <w:bidi w:val="0"/>
        <w:spacing w:lineRule="auto" w:line="319" w:before="0" w:after="2"/>
        <w:jc w:val="center"/>
        <w:rPr>
          <w:rFonts w:ascii="Times New Roman;serif" w:hAnsi="Times New Roman;serif"/>
          <w:b w:val="false"/>
          <w:color w:val="B6B6B6"/>
          <w:sz w:val="18"/>
        </w:rPr>
      </w:pPr>
      <w:r>
        <w:rPr>
          <w:rFonts w:ascii="Times New Roman;serif" w:hAnsi="Times New Roman;serif"/>
          <w:b w:val="false"/>
          <w:color w:val="B6B6B6"/>
          <w:sz w:val="18"/>
        </w:rPr>
        <w:t>(in thousands of U.S. dollars unless otherwise stated)</w:t>
      </w:r>
    </w:p>
    <w:p>
      <w:pPr>
        <w:pStyle w:val="TextBody"/>
        <w:bidi w:val="0"/>
        <w:spacing w:lineRule="auto" w:line="240" w:before="240" w:after="283"/>
        <w:jc w:val="left"/>
        <w:rPr>
          <w:rFonts w:ascii="Times New Roman;serif" w:hAnsi="Times New Roman;serif"/>
          <w:b/>
          <w:color w:val="000000"/>
          <w:sz w:val="22"/>
        </w:rPr>
      </w:pPr>
      <w:r>
        <w:rPr>
          <w:rFonts w:ascii="Times New Roman;serif" w:hAnsi="Times New Roman;serif"/>
          <w:b/>
          <w:color w:val="000000"/>
          <w:sz w:val="22"/>
        </w:rPr>
        <w:t>Note 3 - Revenue</w:t>
      </w:r>
    </w:p>
    <w:p>
      <w:pPr>
        <w:pStyle w:val="TextBody"/>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Group's revenue disaggregated by source:</w:t>
      </w:r>
    </w:p>
    <w:tbl>
      <w:tblPr>
        <w:tblW w:w="7597" w:type="dxa"/>
        <w:jc w:val="left"/>
        <w:tblInd w:w="0" w:type="dxa"/>
        <w:tblLayout w:type="fixed"/>
        <w:tblCellMar>
          <w:top w:w="28" w:type="dxa"/>
          <w:left w:w="28" w:type="dxa"/>
          <w:bottom w:w="28" w:type="dxa"/>
          <w:right w:w="28" w:type="dxa"/>
        </w:tblCellMar>
      </w:tblPr>
      <w:tblGrid>
        <w:gridCol w:w="1503"/>
        <w:gridCol w:w="1321"/>
        <w:gridCol w:w="1331"/>
        <w:gridCol w:w="690"/>
        <w:gridCol w:w="466"/>
        <w:gridCol w:w="466"/>
        <w:gridCol w:w="685"/>
        <w:gridCol w:w="466"/>
        <w:gridCol w:w="669"/>
      </w:tblGrid>
      <w:tr>
        <w:trPr/>
        <w:tc>
          <w:tcPr>
            <w:tcW w:w="1503"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2" w:type="dxa"/>
            <w:gridSpan w:val="6"/>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8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155"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pPr>
            <w:r>
              <w:rPr>
                <w:rFonts w:ascii="Times New Roman;serif" w:hAnsi="Times New Roman;serif"/>
                <w:b w:val="false"/>
                <w:color w:val="000000"/>
                <w:sz w:val="20"/>
              </w:rPr>
              <w:t>Sales of vehicles</w:t>
            </w:r>
            <w:r>
              <w:rPr>
                <w:rFonts w:ascii="Times New Roman;serif" w:hAnsi="Times New Roman;serif"/>
                <w:b w:val="false"/>
                <w:color w:val="000000"/>
                <w:sz w:val="13"/>
              </w:rPr>
              <w:t>1</w:t>
            </w:r>
          </w:p>
        </w:tc>
        <w:tc>
          <w:tcPr>
            <w:tcW w:w="115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1,278,805 </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1,317,756 </w:t>
            </w:r>
          </w:p>
        </w:tc>
        <w:tc>
          <w:tcPr>
            <w:tcW w:w="66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Sales of carbon credits</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52,414 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72,155 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Sales of licenses and royalties</w:t>
            </w:r>
          </w:p>
        </w:tc>
        <w:tc>
          <w:tcPr>
            <w:tcW w:w="115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19,907 </w:t>
            </w:r>
          </w:p>
        </w:tc>
        <w:tc>
          <w:tcPr>
            <w:tcW w:w="4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10,920 </w:t>
            </w:r>
          </w:p>
        </w:tc>
        <w:tc>
          <w:tcPr>
            <w:tcW w:w="6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Vehicle leasing revenue</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4,338 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7,579 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Sales of software and performance engineered kits</w:t>
            </w:r>
          </w:p>
        </w:tc>
        <w:tc>
          <w:tcPr>
            <w:tcW w:w="115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2,515 </w:t>
            </w:r>
          </w:p>
        </w:tc>
        <w:tc>
          <w:tcPr>
            <w:tcW w:w="4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5,628 </w:t>
            </w:r>
          </w:p>
        </w:tc>
        <w:tc>
          <w:tcPr>
            <w:tcW w:w="6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2,112 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8,567 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Total</w:t>
            </w:r>
          </w:p>
        </w:tc>
        <w:tc>
          <w:tcPr>
            <w:tcW w:w="115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1,360,091</w:t>
            </w:r>
            <w:r>
              <w:rPr>
                <w:color w:val="000000"/>
              </w:rPr>
              <w:t> </w:t>
            </w:r>
          </w:p>
        </w:tc>
        <w:tc>
          <w:tcPr>
            <w:tcW w:w="4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1,422,605</w:t>
            </w:r>
            <w:r>
              <w:rPr>
                <w:color w:val="000000"/>
              </w:rPr>
              <w:t> </w:t>
            </w:r>
          </w:p>
        </w:tc>
        <w:tc>
          <w:tcPr>
            <w:tcW w:w="66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rFonts w:ascii="Times New Roman;serif" w:hAnsi="Times New Roman;serif"/>
          <w:b w:val="false"/>
          <w:color w:val="000000"/>
          <w:sz w:val="16"/>
        </w:rPr>
      </w:pPr>
      <w:r>
        <w:rPr>
          <w:rFonts w:ascii="Times New Roman;serif" w:hAnsi="Times New Roman;serif"/>
          <w:b w:val="false"/>
          <w:color w:val="000000"/>
          <w:sz w:val="16"/>
        </w:rPr>
        <w:t>1 - Revenue related to sale of vehicles is inclusive of services sold with vehicles that are recognized over time.</w:t>
      </w:r>
    </w:p>
    <w:p>
      <w:pPr>
        <w:pStyle w:val="TextBody"/>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and 2025, no single customer that was not a related party exceeded 10% of total revenue. </w:t>
      </w:r>
    </w:p>
    <w:p>
      <w:pPr>
        <w:pStyle w:val="TextBody"/>
        <w:bidi w:val="0"/>
        <w:spacing w:lineRule="auto" w:line="240"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breakdown of the Group's revenue by geographical location of the Group entity recognizing the revenue:</w:t>
      </w:r>
    </w:p>
    <w:tbl>
      <w:tblPr>
        <w:tblW w:w="4669" w:type="dxa"/>
        <w:jc w:val="left"/>
        <w:tblInd w:w="0" w:type="dxa"/>
        <w:tblLayout w:type="fixed"/>
        <w:tblCellMar>
          <w:top w:w="28" w:type="dxa"/>
          <w:left w:w="28" w:type="dxa"/>
          <w:bottom w:w="28" w:type="dxa"/>
          <w:right w:w="28" w:type="dxa"/>
        </w:tblCellMar>
      </w:tblPr>
      <w:tblGrid>
        <w:gridCol w:w="538"/>
        <w:gridCol w:w="472"/>
        <w:gridCol w:w="474"/>
        <w:gridCol w:w="559"/>
        <w:gridCol w:w="466"/>
        <w:gridCol w:w="466"/>
        <w:gridCol w:w="559"/>
        <w:gridCol w:w="466"/>
        <w:gridCol w:w="669"/>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5" w:type="dxa"/>
            <w:gridSpan w:val="6"/>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16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48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102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385,462 </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373,173 </w:t>
            </w:r>
          </w:p>
        </w:tc>
        <w:tc>
          <w:tcPr>
            <w:tcW w:w="66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Sweden</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255,982 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275,529 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102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107,825 </w:t>
            </w:r>
          </w:p>
        </w:tc>
        <w:tc>
          <w:tcPr>
            <w:tcW w:w="4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90,830 </w:t>
            </w:r>
          </w:p>
        </w:tc>
        <w:tc>
          <w:tcPr>
            <w:tcW w:w="6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Korea</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100,716 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54,828 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Norway</w:t>
            </w:r>
          </w:p>
        </w:tc>
        <w:tc>
          <w:tcPr>
            <w:tcW w:w="102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98,824 </w:t>
            </w:r>
          </w:p>
        </w:tc>
        <w:tc>
          <w:tcPr>
            <w:tcW w:w="4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98,451 </w:t>
            </w:r>
          </w:p>
        </w:tc>
        <w:tc>
          <w:tcPr>
            <w:tcW w:w="6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Belgium</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69,424 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76,432 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Australia</w:t>
            </w:r>
          </w:p>
        </w:tc>
        <w:tc>
          <w:tcPr>
            <w:tcW w:w="102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62,263 </w:t>
            </w:r>
          </w:p>
        </w:tc>
        <w:tc>
          <w:tcPr>
            <w:tcW w:w="4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50,170 </w:t>
            </w:r>
          </w:p>
        </w:tc>
        <w:tc>
          <w:tcPr>
            <w:tcW w:w="6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Denmark</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52,140 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52,098 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Finland</w:t>
            </w:r>
          </w:p>
        </w:tc>
        <w:tc>
          <w:tcPr>
            <w:tcW w:w="102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35,811 </w:t>
            </w:r>
          </w:p>
        </w:tc>
        <w:tc>
          <w:tcPr>
            <w:tcW w:w="4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41,062 </w:t>
            </w:r>
          </w:p>
        </w:tc>
        <w:tc>
          <w:tcPr>
            <w:tcW w:w="6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Switzerland</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35,764 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32,726 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Netherlands</w:t>
            </w:r>
          </w:p>
        </w:tc>
        <w:tc>
          <w:tcPr>
            <w:tcW w:w="102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31,327 </w:t>
            </w:r>
          </w:p>
        </w:tc>
        <w:tc>
          <w:tcPr>
            <w:tcW w:w="4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54,759 </w:t>
            </w:r>
          </w:p>
        </w:tc>
        <w:tc>
          <w:tcPr>
            <w:tcW w:w="6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Spain</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27,614 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19,078 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Austria</w:t>
            </w:r>
          </w:p>
        </w:tc>
        <w:tc>
          <w:tcPr>
            <w:tcW w:w="102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25,068 </w:t>
            </w:r>
          </w:p>
        </w:tc>
        <w:tc>
          <w:tcPr>
            <w:tcW w:w="4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15,915 </w:t>
            </w:r>
          </w:p>
        </w:tc>
        <w:tc>
          <w:tcPr>
            <w:tcW w:w="6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Italy</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19,560 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13,921 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Portugal</w:t>
            </w:r>
          </w:p>
        </w:tc>
        <w:tc>
          <w:tcPr>
            <w:tcW w:w="102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17,939 </w:t>
            </w:r>
          </w:p>
        </w:tc>
        <w:tc>
          <w:tcPr>
            <w:tcW w:w="4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14,215 </w:t>
            </w:r>
          </w:p>
        </w:tc>
        <w:tc>
          <w:tcPr>
            <w:tcW w:w="6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France</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13,524 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02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10,252 </w:t>
            </w:r>
          </w:p>
        </w:tc>
        <w:tc>
          <w:tcPr>
            <w:tcW w:w="4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27,560 </w:t>
            </w:r>
          </w:p>
        </w:tc>
        <w:tc>
          <w:tcPr>
            <w:tcW w:w="6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Luxembourg</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5,273 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8,244 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pPr>
            <w:r>
              <w:rPr>
                <w:rFonts w:ascii="Times New Roman;serif" w:hAnsi="Times New Roman;serif"/>
                <w:b w:val="false"/>
                <w:color w:val="000000"/>
                <w:sz w:val="20"/>
              </w:rPr>
              <w:t>United States</w:t>
            </w:r>
            <w:r>
              <w:rPr>
                <w:rFonts w:ascii="Times New Roman;serif" w:hAnsi="Times New Roman;serif"/>
                <w:b w:val="false"/>
                <w:color w:val="000000"/>
                <w:sz w:val="13"/>
              </w:rPr>
              <w:t>1</w:t>
            </w:r>
          </w:p>
        </w:tc>
        <w:tc>
          <w:tcPr>
            <w:tcW w:w="102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3,488 </w:t>
            </w:r>
          </w:p>
        </w:tc>
        <w:tc>
          <w:tcPr>
            <w:tcW w:w="4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93,836 </w:t>
            </w:r>
          </w:p>
        </w:tc>
        <w:tc>
          <w:tcPr>
            <w:tcW w:w="6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Other regions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1,835 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29,573 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Total</w:t>
            </w:r>
          </w:p>
        </w:tc>
        <w:tc>
          <w:tcPr>
            <w:tcW w:w="1025"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1,360,091</w:t>
            </w:r>
            <w:r>
              <w:rPr>
                <w:color w:val="000000"/>
              </w:rPr>
              <w:t> </w:t>
            </w:r>
          </w:p>
        </w:tc>
        <w:tc>
          <w:tcPr>
            <w:tcW w:w="4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1,422,605</w:t>
            </w:r>
            <w:r>
              <w:rPr>
                <w:color w:val="000000"/>
              </w:rPr>
              <w:t> </w:t>
            </w:r>
          </w:p>
        </w:tc>
        <w:tc>
          <w:tcPr>
            <w:tcW w:w="66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120" w:after="283"/>
        <w:jc w:val="both"/>
        <w:rPr/>
      </w:pPr>
      <w:r>
        <w:rPr>
          <w:rFonts w:ascii="Times New Roman;serif" w:hAnsi="Times New Roman;serif"/>
          <w:b w:val="false"/>
          <w:color w:val="000000"/>
          <w:sz w:val="16"/>
        </w:rPr>
        <w:t xml:space="preserve">1 - For the six months ended June 30, 2026, the amount was impacted by the increase in the residual value guarantees relating to the U.S. Restructuring as described in </w:t>
      </w:r>
      <w:r>
        <w:rPr>
          <w:rFonts w:ascii="Times New Roman;serif" w:hAnsi="Times New Roman;serif"/>
          <w:b w:val="false"/>
          <w:i/>
          <w:color w:val="000000"/>
          <w:sz w:val="16"/>
        </w:rPr>
        <w:t>Note 1 - Overview and basis of preparation.</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60655"/>
                <wp:effectExtent l="0" t="0" r="0" b="0"/>
                <wp:wrapNone/>
                <wp:docPr id="40" name="Frame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2"/>
                              <w:jc w:val="center"/>
                              <w:rPr>
                                <w:rFonts w:ascii="Times New Roman;serif" w:hAnsi="Times New Roman;serif"/>
                                <w:b w:val="false"/>
                                <w:color w:val="000000"/>
                                <w:sz w:val="22"/>
                              </w:rPr>
                            </w:pPr>
                            <w:r>
                              <w:rPr>
                                <w:rFonts w:ascii="Times New Roman;serif" w:hAnsi="Times New Roman;serif"/>
                                <w:b w:val="false"/>
                                <w:color w:val="000000"/>
                                <w:sz w:val="22"/>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
                        <w:jc w:val="center"/>
                        <w:rPr>
                          <w:rFonts w:ascii="Times New Roman;serif" w:hAnsi="Times New Roman;serif"/>
                          <w:b w:val="false"/>
                          <w:color w:val="000000"/>
                          <w:sz w:val="22"/>
                        </w:rPr>
                      </w:pPr>
                      <w:r>
                        <w:rPr>
                          <w:rFonts w:ascii="Times New Roman;serif" w:hAnsi="Times New Roman;serif"/>
                          <w:b w:val="false"/>
                          <w:color w:val="000000"/>
                          <w:sz w:val="22"/>
                        </w:rPr>
                        <w:t>F-13</w:t>
                      </w:r>
                    </w:p>
                  </w:txbxContent>
                </v:textbox>
                <w10:wrap type="none"/>
              </v:rect>
            </w:pict>
          </mc:Fallback>
        </mc:AlternateContent>
      </w:r>
    </w:p>
    <w:p>
      <w:pPr>
        <w:pStyle w:val="TextBody"/>
        <w:bidi w:val="0"/>
        <w:spacing w:lineRule="auto" w:line="240" w:before="0" w:after="0"/>
        <w:jc w:val="center"/>
        <w:rPr>
          <w:rFonts w:ascii="Times New Roman;serif" w:hAnsi="Times New Roman;serif"/>
          <w:b w:val="false"/>
          <w:color w:val="B6B6B6"/>
          <w:sz w:val="18"/>
        </w:rPr>
      </w:pPr>
      <w:r>
        <w:rPr>
          <w:rFonts w:ascii="Times New Roman;serif" w:hAnsi="Times New Roman;serif"/>
          <w:b w:val="false"/>
          <w:color w:val="B6B6B6"/>
          <w:sz w:val="18"/>
        </w:rPr>
        <w:t>Notes to the Unaudited Condensed Consolidated Interim Financial Statements</w:t>
      </w:r>
    </w:p>
    <w:p>
      <w:pPr>
        <w:pStyle w:val="TextBody"/>
        <w:bidi w:val="0"/>
        <w:spacing w:lineRule="auto" w:line="319" w:before="0" w:after="2"/>
        <w:jc w:val="center"/>
        <w:rPr>
          <w:rFonts w:ascii="Times New Roman;serif" w:hAnsi="Times New Roman;serif"/>
          <w:b w:val="false"/>
          <w:color w:val="B6B6B6"/>
          <w:sz w:val="18"/>
        </w:rPr>
      </w:pPr>
      <w:r>
        <w:rPr>
          <w:rFonts w:ascii="Times New Roman;serif" w:hAnsi="Times New Roman;serif"/>
          <w:b w:val="false"/>
          <w:color w:val="B6B6B6"/>
          <w:sz w:val="18"/>
        </w:rPr>
        <w:t>(in thousands of U.S. dollars unless otherwise stated)</w:t>
      </w:r>
    </w:p>
    <w:p>
      <w:pPr>
        <w:pStyle w:val="TextBody"/>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Note 4 - Expenses by nature</w:t>
      </w:r>
    </w:p>
    <w:p>
      <w:pPr>
        <w:pStyle w:val="TextBody"/>
        <w:bidi w:val="0"/>
        <w:spacing w:lineRule="auto" w:line="319"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illustrates the Group's expenses by nature:</w:t>
      </w:r>
    </w:p>
    <w:tbl>
      <w:tblPr>
        <w:tblW w:w="10205" w:type="dxa"/>
        <w:jc w:val="left"/>
        <w:tblInd w:w="0" w:type="dxa"/>
        <w:tblLayout w:type="fixed"/>
        <w:tblCellMar>
          <w:top w:w="28" w:type="dxa"/>
          <w:left w:w="28" w:type="dxa"/>
          <w:bottom w:w="28" w:type="dxa"/>
          <w:right w:w="28" w:type="dxa"/>
        </w:tblCellMar>
      </w:tblPr>
      <w:tblGrid>
        <w:gridCol w:w="1220"/>
        <w:gridCol w:w="943"/>
        <w:gridCol w:w="948"/>
        <w:gridCol w:w="677"/>
        <w:gridCol w:w="345"/>
        <w:gridCol w:w="236"/>
        <w:gridCol w:w="832"/>
        <w:gridCol w:w="832"/>
        <w:gridCol w:w="833"/>
        <w:gridCol w:w="692"/>
        <w:gridCol w:w="692"/>
        <w:gridCol w:w="693"/>
        <w:gridCol w:w="598"/>
        <w:gridCol w:w="393"/>
        <w:gridCol w:w="271"/>
      </w:tblGrid>
      <w:tr>
        <w:trPr/>
        <w:tc>
          <w:tcPr>
            <w:tcW w:w="122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4" w:type="dxa"/>
            <w:gridSpan w:val="12"/>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For the six months ended June 30, 2026</w:t>
            </w:r>
          </w:p>
        </w:tc>
      </w:tr>
      <w:tr>
        <w:trPr/>
        <w:tc>
          <w:tcPr>
            <w:tcW w:w="3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1" w:before="0" w:after="0"/>
              <w:jc w:val="center"/>
              <w:rPr>
                <w:rFonts w:ascii="Times New Roman;serif" w:hAnsi="Times New Roman;serif"/>
                <w:b/>
                <w:color w:val="000000"/>
                <w:sz w:val="20"/>
              </w:rPr>
            </w:pPr>
            <w:r>
              <w:rPr>
                <w:rFonts w:ascii="Times New Roman;serif" w:hAnsi="Times New Roman;serif"/>
                <w:b/>
                <w:color w:val="000000"/>
                <w:sz w:val="20"/>
              </w:rPr>
              <w:t>Cost of sales</w:t>
            </w:r>
          </w:p>
        </w:tc>
        <w:tc>
          <w:tcPr>
            <w:tcW w:w="24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Selling, general and administrative expense</w:t>
            </w:r>
          </w:p>
        </w:tc>
        <w:tc>
          <w:tcPr>
            <w:tcW w:w="20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Research and development expense</w:t>
            </w:r>
          </w:p>
        </w:tc>
        <w:tc>
          <w:tcPr>
            <w:tcW w:w="12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111"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Inventory costs</w:t>
            </w:r>
          </w:p>
        </w:tc>
        <w:tc>
          <w:tcPr>
            <w:tcW w:w="102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1,408,579 </w:t>
            </w:r>
          </w:p>
        </w:tc>
        <w:tc>
          <w:tcPr>
            <w:tcW w:w="23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83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69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1,408,579 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1"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Impairment reversal, net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(1,154)</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(1,154)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1"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Professional services and consultant costs</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80,562 </w:t>
            </w:r>
          </w:p>
        </w:tc>
        <w:tc>
          <w:tcPr>
            <w:tcW w:w="8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10,405 </w:t>
            </w:r>
          </w:p>
        </w:tc>
        <w:tc>
          <w:tcPr>
            <w:tcW w:w="69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90,967 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1"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Advertising, selling, and promotion costs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134,033 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134,033 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1"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Employee benefit costs</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1,859 </w:t>
            </w:r>
          </w:p>
        </w:tc>
        <w:tc>
          <w:tcPr>
            <w:tcW w:w="2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121,070 </w:t>
            </w:r>
          </w:p>
        </w:tc>
        <w:tc>
          <w:tcPr>
            <w:tcW w:w="8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6,279 </w:t>
            </w:r>
          </w:p>
        </w:tc>
        <w:tc>
          <w:tcPr>
            <w:tcW w:w="69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129,208 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1"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Warranties and costs associated with settling contract liabilities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62,872 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63,891 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1"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2,431 </w:t>
            </w:r>
          </w:p>
        </w:tc>
        <w:tc>
          <w:tcPr>
            <w:tcW w:w="2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9,234 </w:t>
            </w:r>
          </w:p>
        </w:tc>
        <w:tc>
          <w:tcPr>
            <w:tcW w:w="8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69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12,137 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1"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Sales agent costs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61,672 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61,672 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1"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2497"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3111"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Maintenance and insurance service costs</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7,913 </w:t>
            </w:r>
          </w:p>
        </w:tc>
        <w:tc>
          <w:tcPr>
            <w:tcW w:w="8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69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7,913 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1"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Other costs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15,405 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(1,824)</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13,895 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1"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Total</w:t>
            </w:r>
          </w:p>
        </w:tc>
        <w:tc>
          <w:tcPr>
            <w:tcW w:w="1022"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1,474,901</w:t>
            </w:r>
            <w:r>
              <w:rPr>
                <w:color w:val="000000"/>
              </w:rPr>
              <w:t> </w:t>
            </w:r>
          </w:p>
        </w:tc>
        <w:tc>
          <w:tcPr>
            <w:tcW w:w="23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430,908</w:t>
            </w:r>
            <w:r>
              <w:rPr>
                <w:color w:val="000000"/>
              </w:rPr>
              <w:t> </w:t>
            </w:r>
          </w:p>
        </w:tc>
        <w:tc>
          <w:tcPr>
            <w:tcW w:w="83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15,332</w:t>
            </w:r>
            <w:r>
              <w:rPr>
                <w:color w:val="000000"/>
              </w:rPr>
              <w:t> </w:t>
            </w:r>
          </w:p>
        </w:tc>
        <w:tc>
          <w:tcPr>
            <w:tcW w:w="69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1,921,141</w:t>
            </w:r>
            <w:r>
              <w:rPr>
                <w:color w:val="000000"/>
              </w:rPr>
              <w:t> </w:t>
            </w:r>
          </w:p>
        </w:tc>
        <w:tc>
          <w:tcPr>
            <w:tcW w:w="27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both"/>
        <w:rPr/>
      </w:pPr>
      <w:r>
        <w:rPr/>
      </w:r>
    </w:p>
    <w:tbl>
      <w:tblPr>
        <w:tblW w:w="10205" w:type="dxa"/>
        <w:jc w:val="left"/>
        <w:tblInd w:w="0" w:type="dxa"/>
        <w:tblLayout w:type="fixed"/>
        <w:tblCellMar>
          <w:top w:w="28" w:type="dxa"/>
          <w:left w:w="28" w:type="dxa"/>
          <w:bottom w:w="28" w:type="dxa"/>
          <w:right w:w="28" w:type="dxa"/>
        </w:tblCellMar>
      </w:tblPr>
      <w:tblGrid>
        <w:gridCol w:w="1445"/>
        <w:gridCol w:w="1112"/>
        <w:gridCol w:w="1120"/>
        <w:gridCol w:w="677"/>
        <w:gridCol w:w="337"/>
        <w:gridCol w:w="205"/>
        <w:gridCol w:w="738"/>
        <w:gridCol w:w="738"/>
        <w:gridCol w:w="740"/>
        <w:gridCol w:w="619"/>
        <w:gridCol w:w="619"/>
        <w:gridCol w:w="620"/>
        <w:gridCol w:w="598"/>
        <w:gridCol w:w="393"/>
        <w:gridCol w:w="244"/>
      </w:tblGrid>
      <w:tr>
        <w:trPr/>
        <w:tc>
          <w:tcPr>
            <w:tcW w:w="144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67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8" w:type="dxa"/>
            <w:gridSpan w:val="12"/>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For the six months ended June 30, 2025</w:t>
            </w:r>
          </w:p>
        </w:tc>
      </w:tr>
      <w:tr>
        <w:trPr/>
        <w:tc>
          <w:tcPr>
            <w:tcW w:w="3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Cost of sales</w:t>
            </w:r>
          </w:p>
        </w:tc>
        <w:tc>
          <w:tcPr>
            <w:tcW w:w="2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Selling, general and administrative expense</w:t>
            </w:r>
          </w:p>
        </w:tc>
        <w:tc>
          <w:tcPr>
            <w:tcW w:w="18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Research and development expense</w:t>
            </w:r>
          </w:p>
        </w:tc>
        <w:tc>
          <w:tcPr>
            <w:tcW w:w="12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677"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Inventory costs</w:t>
            </w:r>
          </w:p>
        </w:tc>
        <w:tc>
          <w:tcPr>
            <w:tcW w:w="101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1,325,998 </w:t>
            </w:r>
          </w:p>
        </w:tc>
        <w:tc>
          <w:tcPr>
            <w:tcW w:w="20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4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62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1,325,998 </w:t>
            </w:r>
          </w:p>
        </w:tc>
        <w:tc>
          <w:tcPr>
            <w:tcW w:w="24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Impairment of property, plant and equipment, vehicles under operating leases, and intangible assets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723,524 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723,524 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Professional services and consultant costs</w:t>
            </w:r>
          </w:p>
        </w:tc>
        <w:tc>
          <w:tcPr>
            <w:tcW w:w="1014"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109,821 </w:t>
            </w:r>
          </w:p>
        </w:tc>
        <w:tc>
          <w:tcPr>
            <w:tcW w:w="7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17,219 </w:t>
            </w:r>
          </w:p>
        </w:tc>
        <w:tc>
          <w:tcPr>
            <w:tcW w:w="6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127,040 </w:t>
            </w:r>
          </w:p>
        </w:tc>
        <w:tc>
          <w:tcPr>
            <w:tcW w:w="2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Advertising, selling, and promotion costs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120,329 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120,329 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Employee benefit costs</w:t>
            </w:r>
          </w:p>
        </w:tc>
        <w:tc>
          <w:tcPr>
            <w:tcW w:w="1014"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3,847 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105,431 </w:t>
            </w:r>
          </w:p>
        </w:tc>
        <w:tc>
          <w:tcPr>
            <w:tcW w:w="7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2,840 </w:t>
            </w:r>
          </w:p>
        </w:tc>
        <w:tc>
          <w:tcPr>
            <w:tcW w:w="6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112,118 </w:t>
            </w:r>
          </w:p>
        </w:tc>
        <w:tc>
          <w:tcPr>
            <w:tcW w:w="2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Warranties and costs associated with settling contract liabilities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55,649 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56,702 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Sales agent costs</w:t>
            </w:r>
          </w:p>
        </w:tc>
        <w:tc>
          <w:tcPr>
            <w:tcW w:w="1014"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51,999 </w:t>
            </w:r>
          </w:p>
        </w:tc>
        <w:tc>
          <w:tcPr>
            <w:tcW w:w="7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6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51,999 </w:t>
            </w:r>
          </w:p>
        </w:tc>
        <w:tc>
          <w:tcPr>
            <w:tcW w:w="2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13,755 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12,823 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5,755 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32,333 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2216" w:type="dxa"/>
            <w:gridSpan w:val="3"/>
            <w:tcBorders/>
            <w:vAlign w:val="center"/>
          </w:tcPr>
          <w:p>
            <w:pPr>
              <w:pStyle w:val="TableContents"/>
              <w:bidi w:val="0"/>
              <w:spacing w:before="0" w:after="283"/>
              <w:jc w:val="left"/>
              <w:rPr>
                <w:sz w:val="4"/>
                <w:szCs w:val="4"/>
              </w:rPr>
            </w:pPr>
            <w:r>
              <w:rPr>
                <w:sz w:val="4"/>
                <w:szCs w:val="4"/>
              </w:rPr>
            </w:r>
          </w:p>
        </w:tc>
        <w:tc>
          <w:tcPr>
            <w:tcW w:w="1858"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3677"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Maintenance and insurance service costs</w:t>
            </w:r>
          </w:p>
        </w:tc>
        <w:tc>
          <w:tcPr>
            <w:tcW w:w="1014"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9,861 </w:t>
            </w:r>
          </w:p>
        </w:tc>
        <w:tc>
          <w:tcPr>
            <w:tcW w:w="7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6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9,861 </w:t>
            </w:r>
          </w:p>
        </w:tc>
        <w:tc>
          <w:tcPr>
            <w:tcW w:w="2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Other costs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2,956 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19,966 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5,448 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28,370 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Total</w:t>
            </w:r>
          </w:p>
        </w:tc>
        <w:tc>
          <w:tcPr>
            <w:tcW w:w="1014"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2,125,729</w:t>
            </w:r>
            <w:r>
              <w:rPr>
                <w:color w:val="000000"/>
              </w:rPr>
              <w:t> </w:t>
            </w:r>
          </w:p>
        </w:tc>
        <w:tc>
          <w:tcPr>
            <w:tcW w:w="20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431,283</w:t>
            </w:r>
            <w:r>
              <w:rPr>
                <w:color w:val="000000"/>
              </w:rPr>
              <w:t> </w:t>
            </w:r>
          </w:p>
        </w:tc>
        <w:tc>
          <w:tcPr>
            <w:tcW w:w="74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31,262</w:t>
            </w:r>
            <w:r>
              <w:rPr>
                <w:color w:val="000000"/>
              </w:rPr>
              <w:t> </w:t>
            </w:r>
          </w:p>
        </w:tc>
        <w:tc>
          <w:tcPr>
            <w:tcW w:w="62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2,588,274</w:t>
            </w:r>
            <w:r>
              <w:rPr>
                <w:color w:val="000000"/>
              </w:rPr>
              <w:t> </w:t>
            </w:r>
          </w:p>
        </w:tc>
        <w:tc>
          <w:tcPr>
            <w:tcW w:w="24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120" w:after="2"/>
        <w:jc w:val="left"/>
        <w:rPr>
          <w:rFonts w:ascii="Times New Roman;serif" w:hAnsi="Times New Roman;serif"/>
          <w:b/>
          <w:color w:val="000000"/>
          <w:sz w:val="20"/>
        </w:rPr>
      </w:pPr>
      <w:r>
        <w:rPr>
          <w:rFonts w:ascii="Times New Roman;serif" w:hAnsi="Times New Roman;serif"/>
          <w:b/>
          <w:color w:val="000000"/>
          <w:sz w:val="20"/>
        </w:rPr>
        <w:t>Note 5 - Other operating income and expense</w:t>
      </w:r>
    </w:p>
    <w:p>
      <w:pPr>
        <w:pStyle w:val="TextBody"/>
        <w:bidi w:val="0"/>
        <w:spacing w:lineRule="auto" w:line="240"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details the Group's other operating income and expense: </w:t>
      </w:r>
    </w:p>
    <w:tbl>
      <w:tblPr>
        <w:tblW w:w="7139" w:type="dxa"/>
        <w:jc w:val="left"/>
        <w:tblInd w:w="0" w:type="dxa"/>
        <w:tblLayout w:type="fixed"/>
        <w:tblCellMar>
          <w:top w:w="28" w:type="dxa"/>
          <w:left w:w="28" w:type="dxa"/>
          <w:bottom w:w="28" w:type="dxa"/>
          <w:right w:w="28" w:type="dxa"/>
        </w:tblCellMar>
      </w:tblPr>
      <w:tblGrid>
        <w:gridCol w:w="1496"/>
        <w:gridCol w:w="1317"/>
        <w:gridCol w:w="1327"/>
        <w:gridCol w:w="466"/>
        <w:gridCol w:w="466"/>
        <w:gridCol w:w="466"/>
        <w:gridCol w:w="466"/>
        <w:gridCol w:w="466"/>
        <w:gridCol w:w="669"/>
      </w:tblGrid>
      <w:tr>
        <w:trPr/>
        <w:tc>
          <w:tcPr>
            <w:tcW w:w="1496"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6"/>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160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140"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Other operating income</w:t>
            </w:r>
          </w:p>
        </w:tc>
        <w:tc>
          <w:tcPr>
            <w:tcW w:w="139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Sales of carbon credits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4,349 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17,621 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Transition services to Polestar Times Technology</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3,132 </w:t>
            </w:r>
          </w:p>
        </w:tc>
        <w:tc>
          <w:tcPr>
            <w:tcW w:w="4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16,285 </w:t>
            </w:r>
          </w:p>
        </w:tc>
        <w:tc>
          <w:tcPr>
            <w:tcW w:w="6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Sales of plant operation services to a related party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1,661 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Other operating income</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5,318 </w:t>
            </w:r>
          </w:p>
        </w:tc>
        <w:tc>
          <w:tcPr>
            <w:tcW w:w="4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5,520 </w:t>
            </w:r>
          </w:p>
        </w:tc>
        <w:tc>
          <w:tcPr>
            <w:tcW w:w="6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Total other operating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12,799</w:t>
            </w:r>
            <w:r>
              <w:rPr>
                <w:color w:val="000000"/>
              </w:rPr>
              <w:t> </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41,087</w:t>
            </w:r>
            <w:r>
              <w:rPr>
                <w:color w:val="000000"/>
              </w:rPr>
              <w:t> </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Other operating expense</w:t>
            </w:r>
          </w:p>
        </w:tc>
        <w:tc>
          <w:tcPr>
            <w:tcW w:w="139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60655"/>
                <wp:effectExtent l="0" t="0" r="0" b="0"/>
                <wp:wrapNone/>
                <wp:docPr id="41" name="Frame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2"/>
                              <w:jc w:val="center"/>
                              <w:rPr>
                                <w:rFonts w:ascii="Times New Roman;serif" w:hAnsi="Times New Roman;serif"/>
                                <w:b w:val="false"/>
                                <w:color w:val="000000"/>
                                <w:sz w:val="22"/>
                              </w:rPr>
                            </w:pPr>
                            <w:r>
                              <w:rPr>
                                <w:rFonts w:ascii="Times New Roman;serif" w:hAnsi="Times New Roman;serif"/>
                                <w:b w:val="false"/>
                                <w:color w:val="000000"/>
                                <w:sz w:val="22"/>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
                        <w:jc w:val="center"/>
                        <w:rPr>
                          <w:rFonts w:ascii="Times New Roman;serif" w:hAnsi="Times New Roman;serif"/>
                          <w:b w:val="false"/>
                          <w:color w:val="000000"/>
                          <w:sz w:val="22"/>
                        </w:rPr>
                      </w:pPr>
                      <w:r>
                        <w:rPr>
                          <w:rFonts w:ascii="Times New Roman;serif" w:hAnsi="Times New Roman;serif"/>
                          <w:b w:val="false"/>
                          <w:color w:val="000000"/>
                          <w:sz w:val="22"/>
                        </w:rPr>
                        <w:t>F-14</w:t>
                      </w:r>
                    </w:p>
                  </w:txbxContent>
                </v:textbox>
                <w10:wrap type="none"/>
              </v:rect>
            </w:pict>
          </mc:Fallback>
        </mc:AlternateContent>
      </w:r>
    </w:p>
    <w:p>
      <w:pPr>
        <w:pStyle w:val="TextBody"/>
        <w:bidi w:val="0"/>
        <w:spacing w:lineRule="auto" w:line="240" w:before="0" w:after="0"/>
        <w:jc w:val="center"/>
        <w:rPr>
          <w:rFonts w:ascii="Times New Roman;serif" w:hAnsi="Times New Roman;serif"/>
          <w:b w:val="false"/>
          <w:color w:val="B6B6B6"/>
          <w:sz w:val="18"/>
        </w:rPr>
      </w:pPr>
      <w:r>
        <w:rPr>
          <w:rFonts w:ascii="Times New Roman;serif" w:hAnsi="Times New Roman;serif"/>
          <w:b w:val="false"/>
          <w:color w:val="B6B6B6"/>
          <w:sz w:val="18"/>
        </w:rPr>
        <w:t>Notes to the Unaudited Condensed Consolidated Interim Financial Statements</w:t>
      </w:r>
    </w:p>
    <w:p>
      <w:pPr>
        <w:pStyle w:val="TextBody"/>
        <w:bidi w:val="0"/>
        <w:spacing w:lineRule="auto" w:line="319" w:before="0" w:after="2"/>
        <w:jc w:val="center"/>
        <w:rPr>
          <w:rFonts w:ascii="Times New Roman;serif" w:hAnsi="Times New Roman;serif"/>
          <w:b w:val="false"/>
          <w:color w:val="B6B6B6"/>
          <w:sz w:val="18"/>
        </w:rPr>
      </w:pPr>
      <w:r>
        <w:rPr>
          <w:rFonts w:ascii="Times New Roman;serif" w:hAnsi="Times New Roman;serif"/>
          <w:b w:val="false"/>
          <w:color w:val="B6B6B6"/>
          <w:sz w:val="18"/>
        </w:rPr>
        <w:t>(in thousands of U.S. dollars unless otherwise stated)</w:t>
      </w:r>
    </w:p>
    <w:tbl>
      <w:tblPr>
        <w:tblW w:w="7213" w:type="dxa"/>
        <w:jc w:val="left"/>
        <w:tblInd w:w="0" w:type="dxa"/>
        <w:tblLayout w:type="fixed"/>
        <w:tblCellMar>
          <w:top w:w="28" w:type="dxa"/>
          <w:left w:w="28" w:type="dxa"/>
          <w:bottom w:w="28" w:type="dxa"/>
          <w:right w:w="28" w:type="dxa"/>
        </w:tblCellMar>
      </w:tblPr>
      <w:tblGrid>
        <w:gridCol w:w="1527"/>
        <w:gridCol w:w="1342"/>
        <w:gridCol w:w="1345"/>
        <w:gridCol w:w="466"/>
        <w:gridCol w:w="466"/>
        <w:gridCol w:w="466"/>
        <w:gridCol w:w="466"/>
        <w:gridCol w:w="466"/>
        <w:gridCol w:w="669"/>
      </w:tblGrid>
      <w:tr>
        <w:trPr/>
        <w:tc>
          <w:tcPr>
            <w:tcW w:w="1527"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6"/>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160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pPr>
            <w:r>
              <w:rPr>
                <w:rFonts w:ascii="Times New Roman;serif" w:hAnsi="Times New Roman;serif"/>
                <w:b w:val="false"/>
                <w:color w:val="000000"/>
                <w:sz w:val="20"/>
              </w:rPr>
              <w:t>Restructuring costs</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44,247 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13,629 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Property tax and other state and local tax expenses</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4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1,235 </w:t>
            </w:r>
          </w:p>
        </w:tc>
        <w:tc>
          <w:tcPr>
            <w:tcW w:w="6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Transition services to Polestar Times Technology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5,297 </w:t>
            </w:r>
          </w:p>
        </w:tc>
        <w:tc>
          <w:tcPr>
            <w:tcW w:w="4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4,522 </w:t>
            </w:r>
          </w:p>
        </w:tc>
        <w:tc>
          <w:tcPr>
            <w:tcW w:w="6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Total other operating expense</w:t>
            </w:r>
          </w:p>
        </w:tc>
        <w:tc>
          <w:tcPr>
            <w:tcW w:w="93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50,538</w:t>
            </w:r>
            <w:r>
              <w:rPr>
                <w:color w:val="000000"/>
              </w:rPr>
              <w:t> </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20,333</w:t>
            </w:r>
            <w:r>
              <w:rPr>
                <w:color w:val="000000"/>
              </w:rPr>
              <w:t> </w:t>
            </w:r>
          </w:p>
        </w:tc>
        <w:tc>
          <w:tcPr>
            <w:tcW w:w="66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120" w:after="283"/>
        <w:jc w:val="both"/>
        <w:rPr/>
      </w:pPr>
      <w:r>
        <w:rPr>
          <w:rFonts w:ascii="Times New Roman;serif" w:hAnsi="Times New Roman;serif"/>
          <w:b w:val="false"/>
          <w:color w:val="000000"/>
          <w:sz w:val="16"/>
        </w:rPr>
        <w:t xml:space="preserve">1 - For the six months ended June 30, 2026, the amounts are primarily related to severance costs and other restructuring costs arising from the U.S. Restructuring as described in </w:t>
      </w:r>
      <w:r>
        <w:rPr>
          <w:rFonts w:ascii="Times New Roman;serif" w:hAnsi="Times New Roman;serif"/>
          <w:b w:val="false"/>
          <w:i/>
          <w:color w:val="000000"/>
          <w:sz w:val="16"/>
        </w:rPr>
        <w:t>Note 1 - Overview and basis of preparation</w:t>
      </w:r>
      <w:r>
        <w:rPr>
          <w:rFonts w:ascii="Times New Roman;serif" w:hAnsi="Times New Roman;serif"/>
          <w:b w:val="false"/>
          <w:color w:val="000000"/>
          <w:sz w:val="16"/>
        </w:rPr>
        <w:t>. For the six months ended June 30, 2025, the amounts are primarily related to severance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Note 6 - Net loss per share</w:t>
      </w:r>
    </w:p>
    <w:p>
      <w:pPr>
        <w:pStyle w:val="TextBody"/>
        <w:bidi w:val="0"/>
        <w:spacing w:lineRule="auto" w:line="240" w:before="120" w:after="120"/>
        <w:jc w:val="both"/>
        <w:rPr/>
      </w:pPr>
      <w:r>
        <w:rPr>
          <w:rFonts w:ascii="Times New Roman;serif" w:hAnsi="Times New Roman;serif"/>
          <w:b w:val="false"/>
          <w:color w:val="000000"/>
          <w:sz w:val="20"/>
          <w:shd w:fill="FFFFFF" w:val="clear"/>
        </w:rPr>
        <w:t>The following table presents the</w:t>
      </w:r>
      <w:r>
        <w:rPr>
          <w:color w:val="000000"/>
        </w:rPr>
        <w:t xml:space="preserve"> </w:t>
      </w:r>
      <w:r>
        <w:rPr>
          <w:rFonts w:ascii="Times New Roman;serif" w:hAnsi="Times New Roman;serif"/>
          <w:b w:val="false"/>
          <w:color w:val="000000"/>
          <w:sz w:val="20"/>
        </w:rPr>
        <w:t>computation of basic and diluted net loss per share:</w:t>
      </w:r>
    </w:p>
    <w:tbl>
      <w:tblPr>
        <w:tblW w:w="8358" w:type="dxa"/>
        <w:jc w:val="left"/>
        <w:tblInd w:w="0" w:type="dxa"/>
        <w:tblLayout w:type="fixed"/>
        <w:tblCellMar>
          <w:top w:w="28" w:type="dxa"/>
          <w:left w:w="28" w:type="dxa"/>
          <w:bottom w:w="28" w:type="dxa"/>
          <w:right w:w="28" w:type="dxa"/>
        </w:tblCellMar>
      </w:tblPr>
      <w:tblGrid>
        <w:gridCol w:w="1830"/>
        <w:gridCol w:w="1610"/>
        <w:gridCol w:w="1615"/>
        <w:gridCol w:w="540"/>
        <w:gridCol w:w="466"/>
        <w:gridCol w:w="466"/>
        <w:gridCol w:w="696"/>
        <w:gridCol w:w="466"/>
        <w:gridCol w:w="669"/>
      </w:tblGrid>
      <w:tr>
        <w:trPr/>
        <w:tc>
          <w:tcPr>
            <w:tcW w:w="183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3" w:type="dxa"/>
            <w:gridSpan w:val="6"/>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05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Class A and B Common Shares</w:t>
            </w:r>
          </w:p>
        </w:tc>
        <w:tc>
          <w:tcPr>
            <w:tcW w:w="147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Net loss attributable to shareholders of the parent entity</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(842,448)</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(1,193,079)</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DBDBDB" w:val="clear"/>
            <w:tcMar>
              <w:top w:w="0" w:type="dxa"/>
              <w:left w:w="0" w:type="dxa"/>
              <w:bottom w:w="0" w:type="dxa"/>
              <w:right w:w="0" w:type="dxa"/>
            </w:tcMar>
            <w:vAlign w:val="center"/>
          </w:tcPr>
          <w:p>
            <w:pPr>
              <w:pStyle w:val="TableContents"/>
              <w:bidi w:val="0"/>
              <w:spacing w:lineRule="auto" w:line="271" w:before="0" w:after="2"/>
              <w:jc w:val="left"/>
              <w:rPr>
                <w:rFonts w:ascii="Times New Roman;serif" w:hAnsi="Times New Roman;serif"/>
                <w:b/>
                <w:color w:val="000000"/>
                <w:sz w:val="20"/>
              </w:rPr>
            </w:pPr>
            <w:r>
              <w:rPr>
                <w:rFonts w:ascii="Times New Roman;serif" w:hAnsi="Times New Roman;serif"/>
                <w:b/>
                <w:color w:val="000000"/>
                <w:sz w:val="20"/>
              </w:rPr>
              <w:t>Weighted-average number of common shares outstanding:</w:t>
            </w:r>
          </w:p>
        </w:tc>
        <w:tc>
          <w:tcPr>
            <w:tcW w:w="14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3,978,760 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2,114,848 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Net loss per share (in ones):</w:t>
            </w:r>
          </w:p>
        </w:tc>
        <w:tc>
          <w:tcPr>
            <w:tcW w:w="14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(0.56)</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pPr>
      <w:r>
        <w:rPr>
          <w:rFonts w:ascii="Times New Roman;serif" w:hAnsi="Times New Roman;serif"/>
          <w:b w:val="false"/>
          <w:color w:val="000000"/>
          <w:sz w:val="20"/>
        </w:rPr>
        <w:t xml:space="preserve">On December 9, 2025, Polestar's Class A, Class B, Class C-1 and Class C-2 ADS's ratio changed from the current ADS ratio of one (1) ADS to one (1) ordinary share to the underlying ADS Ratio of one (1) ADS to thirty (30) ordinary shares. There were no changes to the Company's Class A, Class B, Class C-1 or Class C-2 ordinary shares, therefore, the shares used in the net loss per share calculations have not been impacted by the change in the ratio of ADSs to ordinary shares to 1:30. For further information on the ADS ratio change, refer to </w:t>
      </w:r>
      <w:r>
        <w:rPr>
          <w:rFonts w:ascii="Times New Roman;serif" w:hAnsi="Times New Roman;serif"/>
          <w:b w:val="false"/>
          <w:i/>
          <w:color w:val="000000"/>
          <w:sz w:val="20"/>
        </w:rPr>
        <w:t>Note 21 - Equity</w:t>
      </w:r>
      <w:r>
        <w:rPr>
          <w:color w:val="000000"/>
        </w:rPr>
        <w:t xml:space="preserve"> </w:t>
      </w:r>
      <w:r>
        <w:rPr>
          <w:rFonts w:ascii="Times New Roman;serif" w:hAnsi="Times New Roman;serif"/>
          <w:b w:val="false"/>
          <w:color w:val="000000"/>
          <w:sz w:val="20"/>
        </w:rPr>
        <w:t>included in the 2025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60655"/>
                <wp:effectExtent l="0" t="0" r="0" b="0"/>
                <wp:wrapNone/>
                <wp:docPr id="42" name="Frame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2"/>
                              <w:jc w:val="center"/>
                              <w:rPr>
                                <w:rFonts w:ascii="Times New Roman;serif" w:hAnsi="Times New Roman;serif"/>
                                <w:b w:val="false"/>
                                <w:color w:val="000000"/>
                                <w:sz w:val="22"/>
                              </w:rPr>
                            </w:pPr>
                            <w:r>
                              <w:rPr>
                                <w:rFonts w:ascii="Times New Roman;serif" w:hAnsi="Times New Roman;serif"/>
                                <w:b w:val="false"/>
                                <w:color w:val="000000"/>
                                <w:sz w:val="22"/>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
                        <w:jc w:val="center"/>
                        <w:rPr>
                          <w:rFonts w:ascii="Times New Roman;serif" w:hAnsi="Times New Roman;serif"/>
                          <w:b w:val="false"/>
                          <w:color w:val="000000"/>
                          <w:sz w:val="22"/>
                        </w:rPr>
                      </w:pPr>
                      <w:r>
                        <w:rPr>
                          <w:rFonts w:ascii="Times New Roman;serif" w:hAnsi="Times New Roman;serif"/>
                          <w:b w:val="false"/>
                          <w:color w:val="000000"/>
                          <w:sz w:val="22"/>
                        </w:rPr>
                        <w:t>F-15</w:t>
                      </w:r>
                    </w:p>
                  </w:txbxContent>
                </v:textbox>
                <w10:wrap type="none"/>
              </v:rect>
            </w:pict>
          </mc:Fallback>
        </mc:AlternateContent>
      </w:r>
    </w:p>
    <w:p>
      <w:pPr>
        <w:pStyle w:val="TextBody"/>
        <w:bidi w:val="0"/>
        <w:spacing w:lineRule="auto" w:line="240" w:before="0" w:after="0"/>
        <w:jc w:val="center"/>
        <w:rPr>
          <w:rFonts w:ascii="Times New Roman;serif" w:hAnsi="Times New Roman;serif"/>
          <w:b w:val="false"/>
          <w:color w:val="B6B6B6"/>
          <w:sz w:val="18"/>
        </w:rPr>
      </w:pPr>
      <w:r>
        <w:rPr>
          <w:rFonts w:ascii="Times New Roman;serif" w:hAnsi="Times New Roman;serif"/>
          <w:b w:val="false"/>
          <w:color w:val="B6B6B6"/>
          <w:sz w:val="18"/>
        </w:rPr>
        <w:t>Notes to the Unaudited Condensed Consolidated Interim Financial Statements</w:t>
      </w:r>
    </w:p>
    <w:p>
      <w:pPr>
        <w:pStyle w:val="TextBody"/>
        <w:bidi w:val="0"/>
        <w:spacing w:lineRule="auto" w:line="319" w:before="0" w:after="2"/>
        <w:jc w:val="center"/>
        <w:rPr>
          <w:rFonts w:ascii="Times New Roman;serif" w:hAnsi="Times New Roman;serif"/>
          <w:b w:val="false"/>
          <w:color w:val="B6B6B6"/>
          <w:sz w:val="18"/>
        </w:rPr>
      </w:pPr>
      <w:r>
        <w:rPr>
          <w:rFonts w:ascii="Times New Roman;serif" w:hAnsi="Times New Roman;serif"/>
          <w:b w:val="false"/>
          <w:color w:val="B6B6B6"/>
          <w:sz w:val="18"/>
        </w:rPr>
        <w:t>(in thousands of U.S. dollars unless otherwise stated)</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Note 7 - Intangible assets and goodwill</w:t>
      </w:r>
    </w:p>
    <w:p>
      <w:pPr>
        <w:pStyle w:val="TextBody"/>
        <w:bidi w:val="0"/>
        <w:spacing w:lineRule="auto" w:line="240" w:before="120" w:after="120"/>
        <w:jc w:val="both"/>
        <w:rPr>
          <w:rFonts w:ascii="Times New Roman;serif" w:hAnsi="Times New Roman;serif"/>
          <w:b w:val="false"/>
          <w:color w:val="000000"/>
          <w:sz w:val="20"/>
        </w:rPr>
      </w:pPr>
      <w:r>
        <w:rPr>
          <w:rFonts w:ascii="Times New Roman;serif" w:hAnsi="Times New Roman;serif"/>
          <w:b w:val="false"/>
          <w:color w:val="000000"/>
          <w:sz w:val="20"/>
        </w:rPr>
        <w:t>The changes in Polestar Group's intangible assets, goodwill and trademarks are as follows:</w:t>
      </w:r>
    </w:p>
    <w:tbl>
      <w:tblPr>
        <w:tblW w:w="10205" w:type="dxa"/>
        <w:jc w:val="left"/>
        <w:tblInd w:w="0" w:type="dxa"/>
        <w:tblLayout w:type="fixed"/>
        <w:tblCellMar>
          <w:top w:w="28" w:type="dxa"/>
          <w:left w:w="28" w:type="dxa"/>
          <w:bottom w:w="28" w:type="dxa"/>
          <w:right w:w="28" w:type="dxa"/>
        </w:tblCellMar>
      </w:tblPr>
      <w:tblGrid>
        <w:gridCol w:w="1147"/>
        <w:gridCol w:w="807"/>
        <w:gridCol w:w="813"/>
        <w:gridCol w:w="601"/>
        <w:gridCol w:w="492"/>
        <w:gridCol w:w="493"/>
        <w:gridCol w:w="368"/>
        <w:gridCol w:w="368"/>
        <w:gridCol w:w="286"/>
        <w:gridCol w:w="508"/>
        <w:gridCol w:w="509"/>
        <w:gridCol w:w="332"/>
        <w:gridCol w:w="368"/>
        <w:gridCol w:w="368"/>
        <w:gridCol w:w="296"/>
        <w:gridCol w:w="390"/>
        <w:gridCol w:w="390"/>
        <w:gridCol w:w="391"/>
        <w:gridCol w:w="508"/>
        <w:gridCol w:w="509"/>
        <w:gridCol w:w="261"/>
      </w:tblGrid>
      <w:tr>
        <w:trPr/>
        <w:tc>
          <w:tcPr>
            <w:tcW w:w="114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276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Internally developed IP</w:t>
            </w:r>
          </w:p>
        </w:tc>
        <w:tc>
          <w:tcPr>
            <w:tcW w:w="1022"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Software</w:t>
            </w:r>
          </w:p>
        </w:tc>
        <w:tc>
          <w:tcPr>
            <w:tcW w:w="1349"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Acquired IP</w:t>
            </w:r>
          </w:p>
        </w:tc>
        <w:tc>
          <w:tcPr>
            <w:tcW w:w="1032"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Goodwill</w:t>
            </w:r>
          </w:p>
        </w:tc>
        <w:tc>
          <w:tcPr>
            <w:tcW w:w="1171"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Trademarks</w:t>
            </w:r>
          </w:p>
        </w:tc>
        <w:tc>
          <w:tcPr>
            <w:tcW w:w="1278"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76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Acquisition cost</w:t>
            </w:r>
          </w:p>
        </w:tc>
        <w:tc>
          <w:tcPr>
            <w:tcW w:w="15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7"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Balance as of January 1, 2026</w:t>
            </w:r>
          </w:p>
        </w:tc>
        <w:tc>
          <w:tcPr>
            <w:tcW w:w="109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682,645</w:t>
            </w:r>
            <w:r>
              <w:rPr>
                <w:color w:val="000000"/>
              </w:rPr>
              <w:t> </w:t>
            </w:r>
          </w:p>
        </w:tc>
        <w:tc>
          <w:tcPr>
            <w:tcW w:w="49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17,177</w:t>
            </w:r>
            <w:r>
              <w:rPr>
                <w:color w:val="000000"/>
              </w:rPr>
              <w:t> </w:t>
            </w:r>
          </w:p>
        </w:tc>
        <w:tc>
          <w:tcPr>
            <w:tcW w:w="2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2,311,582</w:t>
            </w:r>
            <w:r>
              <w:rPr>
                <w:color w:val="000000"/>
              </w:rPr>
              <w:t> </w:t>
            </w:r>
          </w:p>
        </w:tc>
        <w:tc>
          <w:tcPr>
            <w:tcW w:w="33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52,386</w:t>
            </w:r>
            <w:r>
              <w:rPr>
                <w:color w:val="000000"/>
              </w:rPr>
              <w:t> </w:t>
            </w:r>
          </w:p>
        </w:tc>
        <w:tc>
          <w:tcPr>
            <w:tcW w:w="29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2,602</w:t>
            </w:r>
            <w:r>
              <w:rPr>
                <w:color w:val="000000"/>
              </w:rPr>
              <w:t> </w:t>
            </w:r>
          </w:p>
        </w:tc>
        <w:tc>
          <w:tcPr>
            <w:tcW w:w="39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3,066,392</w:t>
            </w:r>
            <w:r>
              <w:rPr>
                <w:color w:val="000000"/>
              </w:rPr>
              <w:t> </w:t>
            </w:r>
          </w:p>
        </w:tc>
        <w:tc>
          <w:tcPr>
            <w:tcW w:w="2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pPr>
            <w:r>
              <w:rPr>
                <w:rFonts w:ascii="Times New Roman;serif" w:hAnsi="Times New Roman;serif"/>
                <w:b w:val="false"/>
                <w:color w:val="000000"/>
                <w:sz w:val="20"/>
              </w:rPr>
              <w:t>Additions</w:t>
            </w:r>
            <w:r>
              <w:rPr>
                <w:rFonts w:ascii="Times New Roman;serif" w:hAnsi="Times New Roman;serif"/>
                <w:b w:val="false"/>
                <w:color w:val="000000"/>
                <w:sz w:val="13"/>
              </w:rPr>
              <w:t>1</w:t>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38,658 </w:t>
            </w:r>
          </w:p>
        </w:tc>
        <w:tc>
          <w:tcPr>
            <w:tcW w:w="4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60,143 </w:t>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98,801 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7"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Derecognition due to program changes</w:t>
            </w:r>
          </w:p>
        </w:tc>
        <w:tc>
          <w:tcPr>
            <w:tcW w:w="1093"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(10,558)</w:t>
            </w:r>
          </w:p>
        </w:tc>
        <w:tc>
          <w:tcPr>
            <w:tcW w:w="49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(10,558)</w:t>
            </w:r>
          </w:p>
        </w:tc>
        <w:tc>
          <w:tcPr>
            <w:tcW w:w="2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7"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276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differences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(35,509)</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(628)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(85,906)</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(2,672)</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(124,848)</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7"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109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675,236</w:t>
            </w:r>
            <w:r>
              <w:rPr>
                <w:color w:val="000000"/>
              </w:rPr>
              <w:t> </w:t>
            </w:r>
          </w:p>
        </w:tc>
        <w:tc>
          <w:tcPr>
            <w:tcW w:w="49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16,549</w:t>
            </w:r>
            <w:r>
              <w:rPr>
                <w:color w:val="000000"/>
              </w:rPr>
              <w:t> </w:t>
            </w:r>
          </w:p>
        </w:tc>
        <w:tc>
          <w:tcPr>
            <w:tcW w:w="2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2,285,819</w:t>
            </w:r>
            <w:r>
              <w:rPr>
                <w:color w:val="000000"/>
              </w:rPr>
              <w:t> </w:t>
            </w:r>
          </w:p>
        </w:tc>
        <w:tc>
          <w:tcPr>
            <w:tcW w:w="33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49,714</w:t>
            </w:r>
            <w:r>
              <w:rPr>
                <w:color w:val="000000"/>
              </w:rPr>
              <w:t> </w:t>
            </w:r>
          </w:p>
        </w:tc>
        <w:tc>
          <w:tcPr>
            <w:tcW w:w="29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2,469</w:t>
            </w:r>
            <w:r>
              <w:rPr>
                <w:color w:val="000000"/>
              </w:rPr>
              <w:t> </w:t>
            </w:r>
          </w:p>
        </w:tc>
        <w:tc>
          <w:tcPr>
            <w:tcW w:w="39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3,029,787</w:t>
            </w:r>
            <w:r>
              <w:rPr>
                <w:color w:val="000000"/>
              </w:rPr>
              <w:t> </w:t>
            </w:r>
          </w:p>
        </w:tc>
        <w:tc>
          <w:tcPr>
            <w:tcW w:w="2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Balance as of January 1, 2025</w:t>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455,029</w:t>
            </w:r>
            <w:r>
              <w:rPr>
                <w:color w:val="000000"/>
              </w:rPr>
              <w:t> </w:t>
            </w:r>
          </w:p>
        </w:tc>
        <w:tc>
          <w:tcPr>
            <w:tcW w:w="4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11,665</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1,811,120</w:t>
            </w:r>
            <w:r>
              <w:rPr>
                <w:color w:val="000000"/>
              </w:rPr>
              <w:t> </w:t>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43,793</w:t>
            </w:r>
            <w:r>
              <w:rPr>
                <w:color w:val="000000"/>
              </w:rPr>
              <w:t>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2,175</w:t>
            </w:r>
            <w:r>
              <w:rPr>
                <w:color w:val="000000"/>
              </w:rPr>
              <w:t> </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2,323,782</w:t>
            </w:r>
            <w:r>
              <w:rPr>
                <w:color w:val="000000"/>
              </w:rPr>
              <w:t>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7"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pPr>
            <w:r>
              <w:rPr>
                <w:rFonts w:ascii="Times New Roman;serif" w:hAnsi="Times New Roman;serif"/>
                <w:b w:val="false"/>
                <w:color w:val="000000"/>
                <w:sz w:val="20"/>
              </w:rPr>
              <w:t>Additions</w:t>
            </w:r>
            <w:r>
              <w:rPr>
                <w:rFonts w:ascii="Times New Roman;serif" w:hAnsi="Times New Roman;serif"/>
                <w:b w:val="false"/>
                <w:color w:val="000000"/>
                <w:sz w:val="13"/>
              </w:rPr>
              <w:t>1</w:t>
            </w:r>
          </w:p>
        </w:tc>
        <w:tc>
          <w:tcPr>
            <w:tcW w:w="109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73,747 </w:t>
            </w:r>
          </w:p>
        </w:tc>
        <w:tc>
          <w:tcPr>
            <w:tcW w:w="49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2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83,887 </w:t>
            </w:r>
          </w:p>
        </w:tc>
        <w:tc>
          <w:tcPr>
            <w:tcW w:w="33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9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9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158,394 </w:t>
            </w:r>
          </w:p>
        </w:tc>
        <w:tc>
          <w:tcPr>
            <w:tcW w:w="2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Derecognition due to program changes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7"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Reclassifications</w:t>
            </w:r>
          </w:p>
        </w:tc>
        <w:tc>
          <w:tcPr>
            <w:tcW w:w="1093"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9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differences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77,232 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1,874 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236,539 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7,001 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322,994 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7"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Balance as of June 30, 2025</w:t>
            </w:r>
          </w:p>
        </w:tc>
        <w:tc>
          <w:tcPr>
            <w:tcW w:w="109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606,008</w:t>
            </w:r>
            <w:r>
              <w:rPr>
                <w:color w:val="000000"/>
              </w:rPr>
              <w:t> </w:t>
            </w:r>
          </w:p>
        </w:tc>
        <w:tc>
          <w:tcPr>
            <w:tcW w:w="49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14,296</w:t>
            </w:r>
            <w:r>
              <w:rPr>
                <w:color w:val="000000"/>
              </w:rPr>
              <w:t> </w:t>
            </w:r>
          </w:p>
        </w:tc>
        <w:tc>
          <w:tcPr>
            <w:tcW w:w="2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2,131,549</w:t>
            </w:r>
            <w:r>
              <w:rPr>
                <w:color w:val="000000"/>
              </w:rPr>
              <w:t> </w:t>
            </w:r>
          </w:p>
        </w:tc>
        <w:tc>
          <w:tcPr>
            <w:tcW w:w="33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50,794</w:t>
            </w:r>
            <w:r>
              <w:rPr>
                <w:color w:val="000000"/>
              </w:rPr>
              <w:t> </w:t>
            </w:r>
          </w:p>
        </w:tc>
        <w:tc>
          <w:tcPr>
            <w:tcW w:w="29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2,523</w:t>
            </w:r>
            <w:r>
              <w:rPr>
                <w:color w:val="000000"/>
              </w:rPr>
              <w:t> </w:t>
            </w:r>
          </w:p>
        </w:tc>
        <w:tc>
          <w:tcPr>
            <w:tcW w:w="39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2,805,170</w:t>
            </w:r>
            <w:r>
              <w:rPr>
                <w:color w:val="000000"/>
              </w:rPr>
              <w:t> </w:t>
            </w:r>
          </w:p>
        </w:tc>
        <w:tc>
          <w:tcPr>
            <w:tcW w:w="2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7"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Accumulated amortization and impairment</w:t>
            </w:r>
          </w:p>
        </w:tc>
        <w:tc>
          <w:tcPr>
            <w:tcW w:w="15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Balance as of January 1, 2026</w:t>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(536,890)</w:t>
            </w:r>
          </w:p>
        </w:tc>
        <w:tc>
          <w:tcPr>
            <w:tcW w:w="4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(7,498)</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(1,821,678)</w:t>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(2,366,066)</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7"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109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9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(1,155)</w:t>
            </w:r>
          </w:p>
        </w:tc>
        <w:tc>
          <w:tcPr>
            <w:tcW w:w="2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33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9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9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(1,203)</w:t>
            </w:r>
          </w:p>
        </w:tc>
        <w:tc>
          <w:tcPr>
            <w:tcW w:w="2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Amortization capitalized into inventory</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(2,279)</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(30,917)</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(33,196)</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7"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2767"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2767"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differences</w:t>
            </w:r>
          </w:p>
        </w:tc>
        <w:tc>
          <w:tcPr>
            <w:tcW w:w="1093"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7,481 </w:t>
            </w:r>
          </w:p>
        </w:tc>
        <w:tc>
          <w:tcPr>
            <w:tcW w:w="49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26,280 </w:t>
            </w:r>
          </w:p>
        </w:tc>
        <w:tc>
          <w:tcPr>
            <w:tcW w:w="3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34,098 </w:t>
            </w:r>
          </w:p>
        </w:tc>
        <w:tc>
          <w:tcPr>
            <w:tcW w:w="2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(531,688)</w:t>
            </w:r>
          </w:p>
        </w:tc>
        <w:tc>
          <w:tcPr>
            <w:tcW w:w="4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(8,316)</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(1,826,363)</w:t>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(2,366,367)</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7"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Balance as of January 1, 2025</w:t>
            </w:r>
          </w:p>
        </w:tc>
        <w:tc>
          <w:tcPr>
            <w:tcW w:w="109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(332,488)</w:t>
            </w:r>
          </w:p>
        </w:tc>
        <w:tc>
          <w:tcPr>
            <w:tcW w:w="49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(4,380)</w:t>
            </w:r>
          </w:p>
        </w:tc>
        <w:tc>
          <w:tcPr>
            <w:tcW w:w="2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(946,065)</w:t>
            </w:r>
          </w:p>
        </w:tc>
        <w:tc>
          <w:tcPr>
            <w:tcW w:w="33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9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9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(1,282,933)</w:t>
            </w:r>
          </w:p>
        </w:tc>
        <w:tc>
          <w:tcPr>
            <w:tcW w:w="2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(931)</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(3,210)</w:t>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(4,141)</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7"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Amortization expense capitalized into inventory</w:t>
            </w:r>
          </w:p>
        </w:tc>
        <w:tc>
          <w:tcPr>
            <w:tcW w:w="1093"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(1,193)</w:t>
            </w:r>
          </w:p>
        </w:tc>
        <w:tc>
          <w:tcPr>
            <w:tcW w:w="49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(31,765)</w:t>
            </w:r>
          </w:p>
        </w:tc>
        <w:tc>
          <w:tcPr>
            <w:tcW w:w="3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(32,958)</w:t>
            </w:r>
          </w:p>
        </w:tc>
        <w:tc>
          <w:tcPr>
            <w:tcW w:w="2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Impairment loss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(13,708)</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(480,798)</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(494,506)</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7"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rate differences</w:t>
            </w:r>
          </w:p>
        </w:tc>
        <w:tc>
          <w:tcPr>
            <w:tcW w:w="1093"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(52,214)</w:t>
            </w:r>
          </w:p>
        </w:tc>
        <w:tc>
          <w:tcPr>
            <w:tcW w:w="49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(588)</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(100,165)</w:t>
            </w:r>
          </w:p>
        </w:tc>
        <w:tc>
          <w:tcPr>
            <w:tcW w:w="3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(152,967)</w:t>
            </w:r>
          </w:p>
        </w:tc>
        <w:tc>
          <w:tcPr>
            <w:tcW w:w="2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Balance as of June 30, 2025</w:t>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(399,603)</w:t>
            </w:r>
          </w:p>
        </w:tc>
        <w:tc>
          <w:tcPr>
            <w:tcW w:w="4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(5,899)</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(1,562,003)</w:t>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(1,967,505)</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Carrying amount as of June 30, 2026</w:t>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143,548</w:t>
            </w:r>
            <w:r>
              <w:rPr>
                <w:color w:val="000000"/>
              </w:rPr>
              <w:t> </w:t>
            </w:r>
          </w:p>
        </w:tc>
        <w:tc>
          <w:tcPr>
            <w:tcW w:w="4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8,233</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459,456</w:t>
            </w:r>
            <w:r>
              <w:rPr>
                <w:color w:val="000000"/>
              </w:rPr>
              <w:t> </w:t>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49,714</w:t>
            </w:r>
            <w:r>
              <w:rPr>
                <w:color w:val="000000"/>
              </w:rPr>
              <w:t>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2,469</w:t>
            </w:r>
            <w:r>
              <w:rPr>
                <w:color w:val="000000"/>
              </w:rPr>
              <w:t> </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663,420</w:t>
            </w:r>
            <w:r>
              <w:rPr>
                <w:color w:val="000000"/>
              </w:rPr>
              <w:t>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7"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Carrying amount as of December 31, 2025</w:t>
            </w:r>
          </w:p>
        </w:tc>
        <w:tc>
          <w:tcPr>
            <w:tcW w:w="1093"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145,755</w:t>
            </w:r>
            <w:r>
              <w:rPr>
                <w:color w:val="000000"/>
              </w:rPr>
              <w:t> </w:t>
            </w:r>
          </w:p>
        </w:tc>
        <w:tc>
          <w:tcPr>
            <w:tcW w:w="49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9,679</w:t>
            </w:r>
            <w:r>
              <w:rPr>
                <w:color w:val="000000"/>
              </w:rPr>
              <w:t> </w:t>
            </w:r>
          </w:p>
        </w:tc>
        <w:tc>
          <w:tcPr>
            <w:tcW w:w="28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489,904</w:t>
            </w:r>
            <w:r>
              <w:rPr>
                <w:color w:val="000000"/>
              </w:rPr>
              <w:t> </w:t>
            </w:r>
          </w:p>
        </w:tc>
        <w:tc>
          <w:tcPr>
            <w:tcW w:w="33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52,386</w:t>
            </w:r>
            <w:r>
              <w:rPr>
                <w:color w:val="000000"/>
              </w:rPr>
              <w:t> </w:t>
            </w:r>
          </w:p>
        </w:tc>
        <w:tc>
          <w:tcPr>
            <w:tcW w:w="2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2,602</w:t>
            </w:r>
            <w:r>
              <w:rPr>
                <w:color w:val="000000"/>
              </w:rPr>
              <w:t> </w:t>
            </w:r>
          </w:p>
        </w:tc>
        <w:tc>
          <w:tcPr>
            <w:tcW w:w="39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700,326</w:t>
            </w:r>
            <w:r>
              <w:rPr>
                <w:color w:val="000000"/>
              </w:rPr>
              <w:t> </w:t>
            </w:r>
          </w:p>
        </w:tc>
        <w:tc>
          <w:tcPr>
            <w:tcW w:w="26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rFonts w:ascii="Times New Roman;serif" w:hAnsi="Times New Roman;serif"/>
          <w:b w:val="false"/>
          <w:color w:val="000000"/>
          <w:sz w:val="16"/>
        </w:rPr>
      </w:pPr>
      <w:r>
        <w:rPr>
          <w:rFonts w:ascii="Times New Roman;serif" w:hAnsi="Times New Roman;serif"/>
          <w:b w:val="false"/>
          <w:color w:val="000000"/>
          <w:sz w:val="16"/>
        </w:rPr>
        <w:t>1 – Of $98,801 in additions for the six months ended June 30, 2026, $57,418 was settled in cash. In the Unaudited Condensed Consolidated Statement of Cash Flows, this $57,418 is included as investing activities in the $145,216 additions to intangible assets, and the remaining $87,798 relates to additions from prior periods which were settled in cash during the six months ended June 30, 2026.</w:t>
      </w:r>
    </w:p>
    <w:p>
      <w:pPr>
        <w:pStyle w:val="TextBody"/>
        <w:bidi w:val="0"/>
        <w:spacing w:lineRule="auto" w:line="240" w:before="60" w:after="283"/>
        <w:jc w:val="both"/>
        <w:rPr>
          <w:rFonts w:ascii="Times New Roman;serif" w:hAnsi="Times New Roman;serif"/>
          <w:b w:val="false"/>
          <w:color w:val="000000"/>
          <w:sz w:val="16"/>
        </w:rPr>
      </w:pPr>
      <w:r>
        <w:rPr>
          <w:rFonts w:ascii="Times New Roman;serif" w:hAnsi="Times New Roman;serif"/>
          <w:b w:val="false"/>
          <w:color w:val="000000"/>
          <w:sz w:val="16"/>
        </w:rPr>
        <w:t>Of $158,394 in additions for the six months ended June 30, 2025, $71,152 has been settled in cash. These $71,152 are included in the $201,581 cash used for investing activities related to additions to intangible assets, and the remaining $130,429 relates to additions from prior periods which were settled in cash during the six months ended June 30, 2025.</w:t>
      </w:r>
    </w:p>
    <w:p>
      <w:pPr>
        <w:pStyle w:val="TextBody"/>
        <w:bidi w:val="0"/>
        <w:spacing w:lineRule="auto" w:line="240" w:before="240" w:after="283"/>
        <w:jc w:val="both"/>
        <w:rPr>
          <w:rFonts w:ascii="Times New Roman;serif" w:hAnsi="Times New Roman;serif"/>
          <w:b w:val="false"/>
          <w:color w:val="000000"/>
          <w:sz w:val="20"/>
        </w:rPr>
      </w:pPr>
      <w:r>
        <w:rPr>
          <w:rFonts w:ascii="Times New Roman;serif" w:hAnsi="Times New Roman;serif"/>
          <w:b w:val="false"/>
          <w:color w:val="000000"/>
          <w:sz w:val="20"/>
        </w:rPr>
        <w:t>The significant additions in the six months ended June 30, 2026 related to:</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Additions to Internally developed IP are primarily related to the Polestar 4, Polestar 5 and various other internal programs, such as model year updates.</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Additions to Acquired IP are primarily related to acquisitions of Polestar 2, Polestar 4 and Polestar 5 model year updates.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60655"/>
                <wp:effectExtent l="0" t="0" r="0" b="0"/>
                <wp:wrapNone/>
                <wp:docPr id="43" name="Frame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2"/>
                              <w:jc w:val="center"/>
                              <w:rPr>
                                <w:rFonts w:ascii="Times New Roman;serif" w:hAnsi="Times New Roman;serif"/>
                                <w:b w:val="false"/>
                                <w:color w:val="000000"/>
                                <w:sz w:val="22"/>
                              </w:rPr>
                            </w:pPr>
                            <w:r>
                              <w:rPr>
                                <w:rFonts w:ascii="Times New Roman;serif" w:hAnsi="Times New Roman;serif"/>
                                <w:b w:val="false"/>
                                <w:color w:val="000000"/>
                                <w:sz w:val="22"/>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
                        <w:jc w:val="center"/>
                        <w:rPr>
                          <w:rFonts w:ascii="Times New Roman;serif" w:hAnsi="Times New Roman;serif"/>
                          <w:b w:val="false"/>
                          <w:color w:val="000000"/>
                          <w:sz w:val="22"/>
                        </w:rPr>
                      </w:pPr>
                      <w:r>
                        <w:rPr>
                          <w:rFonts w:ascii="Times New Roman;serif" w:hAnsi="Times New Roman;serif"/>
                          <w:b w:val="false"/>
                          <w:color w:val="000000"/>
                          <w:sz w:val="22"/>
                        </w:rPr>
                        <w:t>F-16</w:t>
                      </w:r>
                    </w:p>
                  </w:txbxContent>
                </v:textbox>
                <w10:wrap type="none"/>
              </v:rect>
            </w:pict>
          </mc:Fallback>
        </mc:AlternateContent>
      </w:r>
    </w:p>
    <w:p>
      <w:pPr>
        <w:pStyle w:val="TextBody"/>
        <w:bidi w:val="0"/>
        <w:spacing w:lineRule="auto" w:line="240" w:before="0" w:after="0"/>
        <w:jc w:val="center"/>
        <w:rPr>
          <w:rFonts w:ascii="Times New Roman;serif" w:hAnsi="Times New Roman;serif"/>
          <w:b w:val="false"/>
          <w:color w:val="B6B6B6"/>
          <w:sz w:val="18"/>
        </w:rPr>
      </w:pPr>
      <w:r>
        <w:rPr>
          <w:rFonts w:ascii="Times New Roman;serif" w:hAnsi="Times New Roman;serif"/>
          <w:b w:val="false"/>
          <w:color w:val="B6B6B6"/>
          <w:sz w:val="18"/>
        </w:rPr>
        <w:t>Notes to the Unaudited Condensed Consolidated Interim Financial Statements</w:t>
      </w:r>
    </w:p>
    <w:p>
      <w:pPr>
        <w:pStyle w:val="TextBody"/>
        <w:bidi w:val="0"/>
        <w:spacing w:lineRule="auto" w:line="319" w:before="0" w:after="2"/>
        <w:jc w:val="center"/>
        <w:rPr>
          <w:rFonts w:ascii="Times New Roman;serif" w:hAnsi="Times New Roman;serif"/>
          <w:b w:val="false"/>
          <w:color w:val="B6B6B6"/>
          <w:sz w:val="18"/>
        </w:rPr>
      </w:pPr>
      <w:r>
        <w:rPr>
          <w:rFonts w:ascii="Times New Roman;serif" w:hAnsi="Times New Roman;serif"/>
          <w:b w:val="false"/>
          <w:color w:val="B6B6B6"/>
          <w:sz w:val="18"/>
        </w:rPr>
        <w:t>(in thousands of U.S. dollars unless otherwise stated)</w:t>
      </w: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Note 8 - Property, plant and equipment</w:t>
      </w:r>
    </w:p>
    <w:p>
      <w:pPr>
        <w:pStyle w:val="TextBody"/>
        <w:bidi w:val="0"/>
        <w:spacing w:lineRule="auto" w:line="240" w:before="120" w:after="120"/>
        <w:jc w:val="both"/>
        <w:rPr>
          <w:rFonts w:ascii="Times New Roman;serif" w:hAnsi="Times New Roman;serif"/>
          <w:b w:val="false"/>
          <w:color w:val="000000"/>
          <w:sz w:val="20"/>
        </w:rPr>
      </w:pPr>
      <w:r>
        <w:rPr>
          <w:rFonts w:ascii="Times New Roman;serif" w:hAnsi="Times New Roman;serif"/>
          <w:b w:val="false"/>
          <w:color w:val="000000"/>
          <w:sz w:val="20"/>
        </w:rPr>
        <w:t>The table below shows the changes to the carrying amount of tangible assets and right-of-use assets that comprise Property, plant and equipment:</w:t>
      </w:r>
    </w:p>
    <w:tbl>
      <w:tblPr>
        <w:tblW w:w="10205" w:type="dxa"/>
        <w:jc w:val="left"/>
        <w:tblInd w:w="0" w:type="dxa"/>
        <w:tblLayout w:type="fixed"/>
        <w:tblCellMar>
          <w:top w:w="28" w:type="dxa"/>
          <w:left w:w="28" w:type="dxa"/>
          <w:bottom w:w="28" w:type="dxa"/>
          <w:right w:w="28" w:type="dxa"/>
        </w:tblCellMar>
      </w:tblPr>
      <w:tblGrid>
        <w:gridCol w:w="965"/>
        <w:gridCol w:w="572"/>
        <w:gridCol w:w="576"/>
        <w:gridCol w:w="464"/>
        <w:gridCol w:w="369"/>
        <w:gridCol w:w="371"/>
        <w:gridCol w:w="565"/>
        <w:gridCol w:w="452"/>
        <w:gridCol w:w="453"/>
        <w:gridCol w:w="529"/>
        <w:gridCol w:w="476"/>
        <w:gridCol w:w="477"/>
        <w:gridCol w:w="543"/>
        <w:gridCol w:w="369"/>
        <w:gridCol w:w="371"/>
        <w:gridCol w:w="487"/>
        <w:gridCol w:w="448"/>
        <w:gridCol w:w="461"/>
        <w:gridCol w:w="494"/>
        <w:gridCol w:w="497"/>
        <w:gridCol w:w="266"/>
      </w:tblGrid>
      <w:tr>
        <w:trPr/>
        <w:tc>
          <w:tcPr>
            <w:tcW w:w="965"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211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9"/>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Tangible assets</w:t>
            </w:r>
          </w:p>
        </w:tc>
        <w:tc>
          <w:tcPr>
            <w:tcW w:w="2679" w:type="dxa"/>
            <w:gridSpan w:val="6"/>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Right-of-use assets</w:t>
            </w:r>
          </w:p>
        </w:tc>
        <w:tc>
          <w:tcPr>
            <w:tcW w:w="12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Buildings and land</w:t>
            </w:r>
          </w:p>
        </w:tc>
        <w:tc>
          <w:tcPr>
            <w:tcW w:w="14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Machinery and equipment</w:t>
            </w:r>
          </w:p>
        </w:tc>
        <w:tc>
          <w:tcPr>
            <w:tcW w:w="14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Assets under construction</w:t>
            </w:r>
          </w:p>
        </w:tc>
        <w:tc>
          <w:tcPr>
            <w:tcW w:w="12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Buildings and land</w:t>
            </w:r>
          </w:p>
        </w:tc>
        <w:tc>
          <w:tcPr>
            <w:tcW w:w="13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Machinery and equipment</w:t>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113"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Acquisition cost</w:t>
            </w:r>
          </w:p>
        </w:tc>
        <w:tc>
          <w:tcPr>
            <w:tcW w:w="120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Balance as of January 1, 2026</w:t>
            </w:r>
          </w:p>
        </w:tc>
        <w:tc>
          <w:tcPr>
            <w:tcW w:w="8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9,449</w:t>
            </w:r>
            <w:r>
              <w:rPr>
                <w:color w:val="000000"/>
              </w:rPr>
              <w:t> </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607,199</w:t>
            </w:r>
            <w:r>
              <w:rPr>
                <w:color w:val="000000"/>
              </w:rPr>
              <w:t> </w:t>
            </w:r>
          </w:p>
        </w:tc>
        <w:tc>
          <w:tcPr>
            <w:tcW w:w="4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144,996</w:t>
            </w:r>
            <w:r>
              <w:rPr>
                <w:color w:val="000000"/>
              </w:rPr>
              <w:t> </w:t>
            </w:r>
          </w:p>
        </w:tc>
        <w:tc>
          <w:tcPr>
            <w:tcW w:w="4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112,195</w:t>
            </w:r>
            <w:r>
              <w:rPr>
                <w:color w:val="000000"/>
              </w:rPr>
              <w:t> </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93,043</w:t>
            </w:r>
            <w:r>
              <w:rPr>
                <w:color w:val="000000"/>
              </w:rPr>
              <w:t> </w:t>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966,882</w:t>
            </w:r>
            <w:r>
              <w:rPr>
                <w:color w:val="000000"/>
              </w:rPr>
              <w:t>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pPr>
            <w:r>
              <w:rPr>
                <w:rFonts w:ascii="Times New Roman;serif" w:hAnsi="Times New Roman;serif"/>
                <w:b w:val="false"/>
                <w:color w:val="000000"/>
                <w:sz w:val="20"/>
              </w:rPr>
              <w:t>Additions</w:t>
            </w:r>
            <w:r>
              <w:rPr>
                <w:rFonts w:ascii="Times New Roman;serif" w:hAnsi="Times New Roman;serif"/>
                <w:b w:val="false"/>
                <w:color w:val="000000"/>
                <w:sz w:val="13"/>
              </w:rPr>
              <w:t>1</w:t>
            </w:r>
          </w:p>
        </w:tc>
        <w:tc>
          <w:tcPr>
            <w:tcW w:w="83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3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32,869 </w:t>
            </w:r>
          </w:p>
        </w:tc>
        <w:tc>
          <w:tcPr>
            <w:tcW w:w="45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13,139 </w:t>
            </w:r>
          </w:p>
        </w:tc>
        <w:tc>
          <w:tcPr>
            <w:tcW w:w="47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6,808 </w:t>
            </w:r>
          </w:p>
        </w:tc>
        <w:tc>
          <w:tcPr>
            <w:tcW w:w="3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2,794 </w:t>
            </w:r>
          </w:p>
        </w:tc>
        <w:tc>
          <w:tcPr>
            <w:tcW w:w="4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55,745 </w:t>
            </w:r>
          </w:p>
        </w:tc>
        <w:tc>
          <w:tcPr>
            <w:tcW w:w="26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Derecognition due to program changes</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(504)</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(504)</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Divestments and disposals</w:t>
            </w:r>
          </w:p>
        </w:tc>
        <w:tc>
          <w:tcPr>
            <w:tcW w:w="833"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4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(1,840)</w:t>
            </w:r>
          </w:p>
        </w:tc>
        <w:tc>
          <w:tcPr>
            <w:tcW w:w="4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(2,012)</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Reclassifications</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142,486 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(142,486)</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2113"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Cancellations</w:t>
            </w:r>
          </w:p>
        </w:tc>
        <w:tc>
          <w:tcPr>
            <w:tcW w:w="833"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(3,919)</w:t>
            </w:r>
          </w:p>
        </w:tc>
        <w:tc>
          <w:tcPr>
            <w:tcW w:w="3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(1,461)</w:t>
            </w:r>
          </w:p>
        </w:tc>
        <w:tc>
          <w:tcPr>
            <w:tcW w:w="4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(5,380)</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Remeasurement</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(8,081)</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(8,363)</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differences</w:t>
            </w:r>
          </w:p>
        </w:tc>
        <w:tc>
          <w:tcPr>
            <w:tcW w:w="833"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(2,758)</w:t>
            </w:r>
          </w:p>
        </w:tc>
        <w:tc>
          <w:tcPr>
            <w:tcW w:w="4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2,696 </w:t>
            </w:r>
          </w:p>
        </w:tc>
        <w:tc>
          <w:tcPr>
            <w:tcW w:w="4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(3,108)</w:t>
            </w:r>
          </w:p>
        </w:tc>
        <w:tc>
          <w:tcPr>
            <w:tcW w:w="3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(1,885)</w:t>
            </w:r>
          </w:p>
        </w:tc>
        <w:tc>
          <w:tcPr>
            <w:tcW w:w="4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(5,015)</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8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9,622</w:t>
            </w:r>
            <w:r>
              <w:rPr>
                <w:color w:val="000000"/>
              </w:rPr>
              <w:t> </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779,626</w:t>
            </w:r>
            <w:r>
              <w:rPr>
                <w:color w:val="000000"/>
              </w:rPr>
              <w:t> </w:t>
            </w:r>
          </w:p>
        </w:tc>
        <w:tc>
          <w:tcPr>
            <w:tcW w:w="4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16,001</w:t>
            </w:r>
            <w:r>
              <w:rPr>
                <w:color w:val="000000"/>
              </w:rPr>
              <w:t> </w:t>
            </w:r>
          </w:p>
        </w:tc>
        <w:tc>
          <w:tcPr>
            <w:tcW w:w="4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103,895</w:t>
            </w:r>
            <w:r>
              <w:rPr>
                <w:color w:val="000000"/>
              </w:rPr>
              <w:t> </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92,209</w:t>
            </w:r>
            <w:r>
              <w:rPr>
                <w:color w:val="000000"/>
              </w:rPr>
              <w:t> </w:t>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1,001,353</w:t>
            </w:r>
            <w:r>
              <w:rPr>
                <w:color w:val="000000"/>
              </w:rPr>
              <w:t>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2113"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Balance at January 1, 2025</w:t>
            </w:r>
          </w:p>
        </w:tc>
        <w:tc>
          <w:tcPr>
            <w:tcW w:w="83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10,866</w:t>
            </w:r>
            <w:r>
              <w:rPr>
                <w:color w:val="000000"/>
              </w:rPr>
              <w:t> </w:t>
            </w:r>
          </w:p>
        </w:tc>
        <w:tc>
          <w:tcPr>
            <w:tcW w:w="3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476,162</w:t>
            </w:r>
            <w:r>
              <w:rPr>
                <w:color w:val="000000"/>
              </w:rPr>
              <w:t> </w:t>
            </w:r>
          </w:p>
        </w:tc>
        <w:tc>
          <w:tcPr>
            <w:tcW w:w="45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166,196</w:t>
            </w:r>
            <w:r>
              <w:rPr>
                <w:color w:val="000000"/>
              </w:rPr>
              <w:t> </w:t>
            </w:r>
          </w:p>
        </w:tc>
        <w:tc>
          <w:tcPr>
            <w:tcW w:w="47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108,725</w:t>
            </w:r>
            <w:r>
              <w:rPr>
                <w:color w:val="000000"/>
              </w:rPr>
              <w:t> </w:t>
            </w:r>
          </w:p>
        </w:tc>
        <w:tc>
          <w:tcPr>
            <w:tcW w:w="3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83,075</w:t>
            </w:r>
            <w:r>
              <w:rPr>
                <w:color w:val="000000"/>
              </w:rPr>
              <w:t> </w:t>
            </w:r>
          </w:p>
        </w:tc>
        <w:tc>
          <w:tcPr>
            <w:tcW w:w="4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845,024</w:t>
            </w:r>
            <w:r>
              <w:rPr>
                <w:color w:val="000000"/>
              </w:rPr>
              <w:t> </w:t>
            </w:r>
          </w:p>
        </w:tc>
        <w:tc>
          <w:tcPr>
            <w:tcW w:w="26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pPr>
            <w:r>
              <w:rPr>
                <w:rFonts w:ascii="Times New Roman;serif" w:hAnsi="Times New Roman;serif"/>
                <w:b w:val="false"/>
                <w:color w:val="000000"/>
                <w:sz w:val="20"/>
              </w:rPr>
              <w:t>Additions</w:t>
            </w:r>
            <w:r>
              <w:rPr>
                <w:rFonts w:ascii="Times New Roman;serif" w:hAnsi="Times New Roman;serif"/>
                <w:b w:val="false"/>
                <w:color w:val="000000"/>
                <w:sz w:val="13"/>
              </w:rPr>
              <w:t>1</w:t>
            </w:r>
          </w:p>
        </w:tc>
        <w:tc>
          <w:tcPr>
            <w:tcW w:w="8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1,519 </w:t>
            </w:r>
          </w:p>
        </w:tc>
        <w:tc>
          <w:tcPr>
            <w:tcW w:w="4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48,535 </w:t>
            </w:r>
          </w:p>
        </w:tc>
        <w:tc>
          <w:tcPr>
            <w:tcW w:w="4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6,665 </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4,357 </w:t>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61,289 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Divestments and disposals</w:t>
            </w:r>
          </w:p>
        </w:tc>
        <w:tc>
          <w:tcPr>
            <w:tcW w:w="833"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(2,167)</w:t>
            </w:r>
          </w:p>
        </w:tc>
        <w:tc>
          <w:tcPr>
            <w:tcW w:w="3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(1,013)</w:t>
            </w:r>
          </w:p>
        </w:tc>
        <w:tc>
          <w:tcPr>
            <w:tcW w:w="4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4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(3,227)</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Reclassifications</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1,305 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(1,505)</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Cancellations</w:t>
            </w:r>
          </w:p>
        </w:tc>
        <w:tc>
          <w:tcPr>
            <w:tcW w:w="833"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(10,905)</w:t>
            </w:r>
          </w:p>
        </w:tc>
        <w:tc>
          <w:tcPr>
            <w:tcW w:w="3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(1,845)</w:t>
            </w:r>
          </w:p>
        </w:tc>
        <w:tc>
          <w:tcPr>
            <w:tcW w:w="4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(12,750)</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Remeasurement</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(1,095)</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(1,095)</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differences</w:t>
            </w:r>
          </w:p>
        </w:tc>
        <w:tc>
          <w:tcPr>
            <w:tcW w:w="833"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3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15,125 </w:t>
            </w:r>
          </w:p>
        </w:tc>
        <w:tc>
          <w:tcPr>
            <w:tcW w:w="4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15,480 </w:t>
            </w:r>
          </w:p>
        </w:tc>
        <w:tc>
          <w:tcPr>
            <w:tcW w:w="4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12,410 </w:t>
            </w:r>
          </w:p>
        </w:tc>
        <w:tc>
          <w:tcPr>
            <w:tcW w:w="3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6,824 </w:t>
            </w:r>
          </w:p>
        </w:tc>
        <w:tc>
          <w:tcPr>
            <w:tcW w:w="4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50,559 </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8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9,832</w:t>
            </w:r>
            <w:r>
              <w:rPr>
                <w:color w:val="000000"/>
              </w:rPr>
              <w:t> </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493,098</w:t>
            </w:r>
            <w:r>
              <w:rPr>
                <w:color w:val="000000"/>
              </w:rPr>
              <w:t> </w:t>
            </w:r>
          </w:p>
        </w:tc>
        <w:tc>
          <w:tcPr>
            <w:tcW w:w="4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228,659</w:t>
            </w:r>
            <w:r>
              <w:rPr>
                <w:color w:val="000000"/>
              </w:rPr>
              <w:t> </w:t>
            </w:r>
          </w:p>
        </w:tc>
        <w:tc>
          <w:tcPr>
            <w:tcW w:w="4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116,895</w:t>
            </w:r>
            <w:r>
              <w:rPr>
                <w:color w:val="000000"/>
              </w:rPr>
              <w:t> </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91,316</w:t>
            </w:r>
            <w:r>
              <w:rPr>
                <w:color w:val="000000"/>
              </w:rPr>
              <w:t> </w:t>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939,800</w:t>
            </w:r>
            <w:r>
              <w:rPr>
                <w:color w:val="000000"/>
              </w:rPr>
              <w:t>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Depreciation and impairment</w:t>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Balance as of January 1, 2026</w:t>
            </w:r>
          </w:p>
        </w:tc>
        <w:tc>
          <w:tcPr>
            <w:tcW w:w="83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(5,065)</w:t>
            </w:r>
          </w:p>
        </w:tc>
        <w:tc>
          <w:tcPr>
            <w:tcW w:w="3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(412,337)</w:t>
            </w:r>
          </w:p>
        </w:tc>
        <w:tc>
          <w:tcPr>
            <w:tcW w:w="45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(108,573)</w:t>
            </w:r>
          </w:p>
        </w:tc>
        <w:tc>
          <w:tcPr>
            <w:tcW w:w="47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(58,733)</w:t>
            </w:r>
          </w:p>
        </w:tc>
        <w:tc>
          <w:tcPr>
            <w:tcW w:w="3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(89,181)</w:t>
            </w:r>
          </w:p>
        </w:tc>
        <w:tc>
          <w:tcPr>
            <w:tcW w:w="4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(673,889)</w:t>
            </w:r>
          </w:p>
        </w:tc>
        <w:tc>
          <w:tcPr>
            <w:tcW w:w="26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8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(584)</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(1,625)</w:t>
            </w:r>
          </w:p>
        </w:tc>
        <w:tc>
          <w:tcPr>
            <w:tcW w:w="4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(6,817)</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(9,144)</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Depreciation capitalized into inventory</w:t>
            </w:r>
          </w:p>
        </w:tc>
        <w:tc>
          <w:tcPr>
            <w:tcW w:w="833"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(17,973)</w:t>
            </w:r>
          </w:p>
        </w:tc>
        <w:tc>
          <w:tcPr>
            <w:tcW w:w="4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(17,973)</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Divestments and disposals</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Depreciation expense employee benefits</w:t>
            </w:r>
          </w:p>
        </w:tc>
        <w:tc>
          <w:tcPr>
            <w:tcW w:w="833"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(2,086)</w:t>
            </w:r>
          </w:p>
        </w:tc>
        <w:tc>
          <w:tcPr>
            <w:tcW w:w="4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(2,086)</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Cancellations</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5,466 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6,596 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Impairment loss</w:t>
            </w:r>
          </w:p>
        </w:tc>
        <w:tc>
          <w:tcPr>
            <w:tcW w:w="833"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(106,456)</w:t>
            </w:r>
          </w:p>
        </w:tc>
        <w:tc>
          <w:tcPr>
            <w:tcW w:w="4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106,456 </w:t>
            </w:r>
          </w:p>
        </w:tc>
        <w:tc>
          <w:tcPr>
            <w:tcW w:w="4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3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differences</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(2,696)</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(1,118)</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1,827 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1,635 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(373)</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83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(5,668)</w:t>
            </w:r>
          </w:p>
        </w:tc>
        <w:tc>
          <w:tcPr>
            <w:tcW w:w="3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(540,923)</w:t>
            </w:r>
          </w:p>
        </w:tc>
        <w:tc>
          <w:tcPr>
            <w:tcW w:w="45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(3,235)</w:t>
            </w:r>
          </w:p>
        </w:tc>
        <w:tc>
          <w:tcPr>
            <w:tcW w:w="47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(57,949)</w:t>
            </w:r>
          </w:p>
        </w:tc>
        <w:tc>
          <w:tcPr>
            <w:tcW w:w="3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(88,620)</w:t>
            </w:r>
          </w:p>
        </w:tc>
        <w:tc>
          <w:tcPr>
            <w:tcW w:w="4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(696,395)</w:t>
            </w:r>
          </w:p>
        </w:tc>
        <w:tc>
          <w:tcPr>
            <w:tcW w:w="26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211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Balance at January 1, 2025</w:t>
            </w:r>
          </w:p>
        </w:tc>
        <w:tc>
          <w:tcPr>
            <w:tcW w:w="8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(4,154)</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(142,883)</w:t>
            </w:r>
          </w:p>
        </w:tc>
        <w:tc>
          <w:tcPr>
            <w:tcW w:w="4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(72,700)</w:t>
            </w:r>
          </w:p>
        </w:tc>
        <w:tc>
          <w:tcPr>
            <w:tcW w:w="4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(38,169)</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(49,375)</w:t>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(307,281)</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83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(1,185)</w:t>
            </w:r>
          </w:p>
        </w:tc>
        <w:tc>
          <w:tcPr>
            <w:tcW w:w="3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(2,516)</w:t>
            </w:r>
          </w:p>
        </w:tc>
        <w:tc>
          <w:tcPr>
            <w:tcW w:w="45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7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(10,449)</w:t>
            </w:r>
          </w:p>
        </w:tc>
        <w:tc>
          <w:tcPr>
            <w:tcW w:w="3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(532)</w:t>
            </w:r>
          </w:p>
        </w:tc>
        <w:tc>
          <w:tcPr>
            <w:tcW w:w="4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(14,682)</w:t>
            </w:r>
          </w:p>
        </w:tc>
        <w:tc>
          <w:tcPr>
            <w:tcW w:w="26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Depreciation capitalized into inventory</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(7,356)</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(1,698)</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(9,054)</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Divestments and disposals</w:t>
            </w:r>
          </w:p>
        </w:tc>
        <w:tc>
          <w:tcPr>
            <w:tcW w:w="833"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3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4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1,546 </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Depreciation expense employee benefits</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(1,823)</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(1,823)</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Cancellations</w:t>
            </w:r>
          </w:p>
        </w:tc>
        <w:tc>
          <w:tcPr>
            <w:tcW w:w="833"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7,427 </w:t>
            </w:r>
          </w:p>
        </w:tc>
        <w:tc>
          <w:tcPr>
            <w:tcW w:w="3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1,692 </w:t>
            </w:r>
          </w:p>
        </w:tc>
        <w:tc>
          <w:tcPr>
            <w:tcW w:w="4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9,119 </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Impairment loss</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(215,715)</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(874)</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(28,891)</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(245,480)</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differences</w:t>
            </w:r>
          </w:p>
        </w:tc>
        <w:tc>
          <w:tcPr>
            <w:tcW w:w="833"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3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(4,826)</w:t>
            </w:r>
          </w:p>
        </w:tc>
        <w:tc>
          <w:tcPr>
            <w:tcW w:w="4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(1,460)</w:t>
            </w:r>
          </w:p>
        </w:tc>
        <w:tc>
          <w:tcPr>
            <w:tcW w:w="4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(4,462)</w:t>
            </w:r>
          </w:p>
        </w:tc>
        <w:tc>
          <w:tcPr>
            <w:tcW w:w="3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(1,156)</w:t>
            </w:r>
          </w:p>
        </w:tc>
        <w:tc>
          <w:tcPr>
            <w:tcW w:w="4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(12,080)</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8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(4,774)</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(372,491)</w:t>
            </w:r>
          </w:p>
        </w:tc>
        <w:tc>
          <w:tcPr>
            <w:tcW w:w="4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(75,034)</w:t>
            </w:r>
          </w:p>
        </w:tc>
        <w:tc>
          <w:tcPr>
            <w:tcW w:w="4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(45,653)</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(81,783)</w:t>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(579,735)</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211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Carrying amount at June 30, 2026</w:t>
            </w:r>
          </w:p>
        </w:tc>
        <w:tc>
          <w:tcPr>
            <w:tcW w:w="8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3,954</w:t>
            </w:r>
            <w:r>
              <w:rPr>
                <w:color w:val="000000"/>
              </w:rPr>
              <w:t> </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238,703</w:t>
            </w:r>
            <w:r>
              <w:rPr>
                <w:color w:val="000000"/>
              </w:rPr>
              <w:t> </w:t>
            </w:r>
          </w:p>
        </w:tc>
        <w:tc>
          <w:tcPr>
            <w:tcW w:w="4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12,766</w:t>
            </w:r>
            <w:r>
              <w:rPr>
                <w:color w:val="000000"/>
              </w:rPr>
              <w:t> </w:t>
            </w:r>
          </w:p>
        </w:tc>
        <w:tc>
          <w:tcPr>
            <w:tcW w:w="4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45,946</w:t>
            </w:r>
            <w:r>
              <w:rPr>
                <w:color w:val="000000"/>
              </w:rPr>
              <w:t> </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3,589</w:t>
            </w:r>
            <w:r>
              <w:rPr>
                <w:color w:val="000000"/>
              </w:rPr>
              <w:t> </w:t>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304,958</w:t>
            </w:r>
            <w:r>
              <w:rPr>
                <w:color w:val="000000"/>
              </w:rPr>
              <w:t>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Carrying amount at December 31, 2025</w:t>
            </w:r>
          </w:p>
        </w:tc>
        <w:tc>
          <w:tcPr>
            <w:tcW w:w="833"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4,384</w:t>
            </w:r>
            <w:r>
              <w:rPr>
                <w:color w:val="000000"/>
              </w:rPr>
              <w:t> </w:t>
            </w:r>
          </w:p>
        </w:tc>
        <w:tc>
          <w:tcPr>
            <w:tcW w:w="37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194,862</w:t>
            </w:r>
            <w:r>
              <w:rPr>
                <w:color w:val="000000"/>
              </w:rPr>
              <w:t> </w:t>
            </w:r>
          </w:p>
        </w:tc>
        <w:tc>
          <w:tcPr>
            <w:tcW w:w="45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36,423</w:t>
            </w:r>
            <w:r>
              <w:rPr>
                <w:color w:val="000000"/>
              </w:rPr>
              <w:t> </w:t>
            </w:r>
          </w:p>
        </w:tc>
        <w:tc>
          <w:tcPr>
            <w:tcW w:w="47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53,462</w:t>
            </w:r>
            <w:r>
              <w:rPr>
                <w:color w:val="000000"/>
              </w:rPr>
              <w:t> </w:t>
            </w:r>
          </w:p>
        </w:tc>
        <w:tc>
          <w:tcPr>
            <w:tcW w:w="37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3,862</w:t>
            </w:r>
            <w:r>
              <w:rPr>
                <w:color w:val="000000"/>
              </w:rPr>
              <w:t> </w:t>
            </w:r>
          </w:p>
        </w:tc>
        <w:tc>
          <w:tcPr>
            <w:tcW w:w="46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292,993</w:t>
            </w:r>
            <w:r>
              <w:rPr>
                <w:color w:val="000000"/>
              </w:rPr>
              <w:t> </w:t>
            </w:r>
          </w:p>
        </w:tc>
        <w:tc>
          <w:tcPr>
            <w:tcW w:w="2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pPr>
      <w:r>
        <w:rPr>
          <w:rFonts w:ascii="Times New Roman;serif" w:hAnsi="Times New Roman;serif"/>
          <w:b w:val="false"/>
          <w:color w:val="000000"/>
          <w:sz w:val="16"/>
        </w:rPr>
        <w:t xml:space="preserve">1 - Of $55,745 in additions for the six months ended June 30, 2026, $26,844 was settled in cash. In the Unaudited Condensed Consolidated Statement of Cash Flows the amount of $26,844 is included as investing activities in the $66,358 to additions to property, plant and equipment, and the remaining $39,514 relates to additions to </w:t>
      </w:r>
      <w:r>
        <w:rPr>
          <w:rFonts w:ascii="Times New Roman;serif" w:hAnsi="Times New Roman;serif"/>
          <w:b w:val="false"/>
          <w:color w:val="242424"/>
          <w:sz w:val="16"/>
        </w:rPr>
        <w:t>trade payables</w:t>
      </w:r>
      <w:r>
        <w:rPr>
          <w:color w:val="000000"/>
        </w:rPr>
        <w:t xml:space="preserve"> </w:t>
      </w:r>
      <w:r>
        <w:rPr>
          <w:rFonts w:ascii="Times New Roman;serif" w:hAnsi="Times New Roman;serif"/>
          <w:b w:val="false"/>
          <w:color w:val="000000"/>
          <w:sz w:val="16"/>
        </w:rPr>
        <w:t>from prior years which were settled in cash during the six months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60655"/>
                <wp:effectExtent l="0" t="0" r="0" b="0"/>
                <wp:wrapNone/>
                <wp:docPr id="44" name="Frame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2"/>
                              <w:jc w:val="center"/>
                              <w:rPr>
                                <w:rFonts w:ascii="Times New Roman;serif" w:hAnsi="Times New Roman;serif"/>
                                <w:b w:val="false"/>
                                <w:color w:val="000000"/>
                                <w:sz w:val="22"/>
                              </w:rPr>
                            </w:pPr>
                            <w:r>
                              <w:rPr>
                                <w:rFonts w:ascii="Times New Roman;serif" w:hAnsi="Times New Roman;serif"/>
                                <w:b w:val="false"/>
                                <w:color w:val="000000"/>
                                <w:sz w:val="22"/>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
                        <w:jc w:val="center"/>
                        <w:rPr>
                          <w:rFonts w:ascii="Times New Roman;serif" w:hAnsi="Times New Roman;serif"/>
                          <w:b w:val="false"/>
                          <w:color w:val="000000"/>
                          <w:sz w:val="22"/>
                        </w:rPr>
                      </w:pPr>
                      <w:r>
                        <w:rPr>
                          <w:rFonts w:ascii="Times New Roman;serif" w:hAnsi="Times New Roman;serif"/>
                          <w:b w:val="false"/>
                          <w:color w:val="000000"/>
                          <w:sz w:val="22"/>
                        </w:rPr>
                        <w:t>F-17</w:t>
                      </w:r>
                    </w:p>
                  </w:txbxContent>
                </v:textbox>
                <w10:wrap type="none"/>
              </v:rect>
            </w:pict>
          </mc:Fallback>
        </mc:AlternateContent>
      </w:r>
    </w:p>
    <w:p>
      <w:pPr>
        <w:pStyle w:val="TextBody"/>
        <w:bidi w:val="0"/>
        <w:spacing w:lineRule="auto" w:line="240" w:before="0" w:after="0"/>
        <w:jc w:val="center"/>
        <w:rPr>
          <w:rFonts w:ascii="Times New Roman;serif" w:hAnsi="Times New Roman;serif"/>
          <w:b w:val="false"/>
          <w:color w:val="B6B6B6"/>
          <w:sz w:val="18"/>
        </w:rPr>
      </w:pPr>
      <w:r>
        <w:rPr>
          <w:rFonts w:ascii="Times New Roman;serif" w:hAnsi="Times New Roman;serif"/>
          <w:b w:val="false"/>
          <w:color w:val="B6B6B6"/>
          <w:sz w:val="18"/>
        </w:rPr>
        <w:t>Notes to the Unaudited Condensed Consolidated Interim Financial Statements</w:t>
      </w:r>
    </w:p>
    <w:p>
      <w:pPr>
        <w:pStyle w:val="TextBody"/>
        <w:bidi w:val="0"/>
        <w:spacing w:lineRule="auto" w:line="319" w:before="0" w:after="2"/>
        <w:jc w:val="center"/>
        <w:rPr>
          <w:rFonts w:ascii="Times New Roman;serif" w:hAnsi="Times New Roman;serif"/>
          <w:b w:val="false"/>
          <w:color w:val="B6B6B6"/>
          <w:sz w:val="18"/>
        </w:rPr>
      </w:pPr>
      <w:r>
        <w:rPr>
          <w:rFonts w:ascii="Times New Roman;serif" w:hAnsi="Times New Roman;serif"/>
          <w:b w:val="false"/>
          <w:color w:val="B6B6B6"/>
          <w:sz w:val="18"/>
        </w:rPr>
        <w:t>(in thousands of U.S. dollars unless otherwise stated)</w:t>
      </w:r>
    </w:p>
    <w:p>
      <w:pPr>
        <w:pStyle w:val="TextBody"/>
        <w:bidi w:val="0"/>
        <w:spacing w:lineRule="auto" w:line="240" w:before="0" w:after="0"/>
        <w:jc w:val="both"/>
        <w:rPr/>
      </w:pPr>
      <w:r>
        <w:rPr>
          <w:rFonts w:ascii="Times New Roman;serif" w:hAnsi="Times New Roman;serif"/>
          <w:b w:val="false"/>
          <w:color w:val="000000"/>
          <w:sz w:val="16"/>
        </w:rPr>
        <w:t xml:space="preserve">Of $61,289 in additions for the six months ended June 30, 2025, $38,296 was settled in cash. In the Unaudited Condensed Consolidated Statement of Cash Flows $38,296 is included as investing activities in the $88,032 of additions to property, plant and equipment, and the remaining $49,736 relates to additions to </w:t>
      </w:r>
      <w:r>
        <w:rPr>
          <w:rFonts w:ascii="Times New Roman;serif" w:hAnsi="Times New Roman;serif"/>
          <w:b w:val="false"/>
          <w:color w:val="242424"/>
          <w:sz w:val="16"/>
        </w:rPr>
        <w:t>trade payables</w:t>
      </w:r>
      <w:r>
        <w:rPr>
          <w:color w:val="000000"/>
        </w:rPr>
        <w:t xml:space="preserve"> </w:t>
      </w:r>
      <w:r>
        <w:rPr>
          <w:rFonts w:ascii="Times New Roman;serif" w:hAnsi="Times New Roman;serif"/>
          <w:b w:val="false"/>
          <w:color w:val="000000"/>
          <w:sz w:val="16"/>
        </w:rPr>
        <w:t>from prior years which were settled in cash during the six months ended June 30, 2025.</w:t>
      </w:r>
    </w:p>
    <w:p>
      <w:pPr>
        <w:pStyle w:val="TextBody"/>
        <w:bidi w:val="0"/>
        <w:spacing w:lineRule="auto" w:line="240" w:before="240" w:after="283"/>
        <w:jc w:val="both"/>
        <w:rPr>
          <w:rFonts w:ascii="Times New Roman;serif" w:hAnsi="Times New Roman;serif"/>
          <w:b w:val="false"/>
          <w:color w:val="000000"/>
          <w:sz w:val="20"/>
        </w:rPr>
      </w:pPr>
      <w:r>
        <w:rPr>
          <w:rFonts w:ascii="Times New Roman;serif" w:hAnsi="Times New Roman;serif"/>
          <w:b w:val="false"/>
          <w:color w:val="000000"/>
          <w:sz w:val="20"/>
        </w:rPr>
        <w:t>The significant additions in the six months ended June 30, 2026 were related to additions to machinery and equipment, mainly due to acquisitions of vendor tooling for Polestar 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Note 9 - Financial instruments</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Fair values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carrying amounts of financial assets and liabilities measured at amortized cost. The carrying amounts of these financial assets and liabilities approximate their fair value.</w:t>
      </w:r>
    </w:p>
    <w:tbl>
      <w:tblPr>
        <w:tblW w:w="10205" w:type="dxa"/>
        <w:jc w:val="left"/>
        <w:tblInd w:w="0" w:type="dxa"/>
        <w:tblLayout w:type="fixed"/>
        <w:tblCellMar>
          <w:top w:w="28" w:type="dxa"/>
          <w:left w:w="28" w:type="dxa"/>
          <w:bottom w:w="28" w:type="dxa"/>
          <w:right w:w="28" w:type="dxa"/>
        </w:tblCellMar>
      </w:tblPr>
      <w:tblGrid>
        <w:gridCol w:w="1626"/>
        <w:gridCol w:w="1417"/>
        <w:gridCol w:w="1428"/>
        <w:gridCol w:w="522"/>
        <w:gridCol w:w="524"/>
        <w:gridCol w:w="286"/>
        <w:gridCol w:w="521"/>
        <w:gridCol w:w="525"/>
        <w:gridCol w:w="396"/>
        <w:gridCol w:w="579"/>
        <w:gridCol w:w="468"/>
        <w:gridCol w:w="339"/>
        <w:gridCol w:w="521"/>
        <w:gridCol w:w="525"/>
        <w:gridCol w:w="528"/>
      </w:tblGrid>
      <w:tr>
        <w:trPr/>
        <w:tc>
          <w:tcPr>
            <w:tcW w:w="1626"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44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6"/>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As of June 30, 2026</w:t>
            </w:r>
          </w:p>
        </w:tc>
        <w:tc>
          <w:tcPr>
            <w:tcW w:w="2960" w:type="dxa"/>
            <w:gridSpan w:val="6"/>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Current</w:t>
            </w:r>
          </w:p>
        </w:tc>
        <w:tc>
          <w:tcPr>
            <w:tcW w:w="14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Non-Current</w:t>
            </w:r>
          </w:p>
        </w:tc>
        <w:tc>
          <w:tcPr>
            <w:tcW w:w="13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Current</w:t>
            </w:r>
          </w:p>
        </w:tc>
        <w:tc>
          <w:tcPr>
            <w:tcW w:w="15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Non-Current</w:t>
            </w:r>
          </w:p>
        </w:tc>
      </w:tr>
      <w:tr>
        <w:trPr/>
        <w:tc>
          <w:tcPr>
            <w:tcW w:w="4471"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Financial assets</w:t>
            </w:r>
          </w:p>
        </w:tc>
        <w:tc>
          <w:tcPr>
            <w:tcW w:w="133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887,577 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1,159,300 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Trade receivables and other receivables</w:t>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363,885 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341,881 </w:t>
            </w:r>
          </w:p>
        </w:tc>
        <w:tc>
          <w:tcPr>
            <w:tcW w:w="3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Restricted deposits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5,898 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67,257 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19,188 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38,934 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Other financial assets</w:t>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26,089 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14,481 </w:t>
            </w:r>
          </w:p>
        </w:tc>
        <w:tc>
          <w:tcPr>
            <w:tcW w:w="3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49,079 </w:t>
            </w:r>
          </w:p>
        </w:tc>
        <w:tc>
          <w:tcPr>
            <w:tcW w:w="3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14,340 </w:t>
            </w:r>
          </w:p>
        </w:tc>
        <w:tc>
          <w:tcPr>
            <w:tcW w:w="5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Total financial assets measured at amortized cost</w:t>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1,283,449</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81,738</w:t>
            </w:r>
            <w:r>
              <w:rPr>
                <w:color w:val="000000"/>
              </w:rPr>
              <w:t> </w:t>
            </w:r>
          </w:p>
        </w:tc>
        <w:tc>
          <w:tcPr>
            <w:tcW w:w="3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1,569,448</w:t>
            </w:r>
            <w:r>
              <w:rPr>
                <w:color w:val="000000"/>
              </w:rPr>
              <w:t> </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53,274</w:t>
            </w:r>
            <w:r>
              <w:rPr>
                <w:color w:val="000000"/>
              </w:rPr>
              <w:t> </w:t>
            </w:r>
          </w:p>
        </w:tc>
        <w:tc>
          <w:tcPr>
            <w:tcW w:w="5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133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Loans and borrowings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(4,956,555)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(946,820)</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(3,860,675)</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(2,499,230)</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Trade payables</w:t>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(894,797)</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(1,107,162)</w:t>
            </w:r>
          </w:p>
        </w:tc>
        <w:tc>
          <w:tcPr>
            <w:tcW w:w="3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(319,045)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(424,152)</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Refund liabilities</w:t>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(171,734)</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(73,212)</w:t>
            </w:r>
          </w:p>
        </w:tc>
        <w:tc>
          <w:tcPr>
            <w:tcW w:w="3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(167,642)</w:t>
            </w:r>
          </w:p>
        </w:tc>
        <w:tc>
          <w:tcPr>
            <w:tcW w:w="3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(30,875)</w:t>
            </w:r>
          </w:p>
        </w:tc>
        <w:tc>
          <w:tcPr>
            <w:tcW w:w="5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(28,641)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(84,460)</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(37,210)</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(93,514)</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Liabilities related to repurchase commitments</w:t>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(131,083)</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(4,256)</w:t>
            </w:r>
          </w:p>
        </w:tc>
        <w:tc>
          <w:tcPr>
            <w:tcW w:w="3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(124,633)</w:t>
            </w:r>
          </w:p>
        </w:tc>
        <w:tc>
          <w:tcPr>
            <w:tcW w:w="3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(722)</w:t>
            </w:r>
          </w:p>
        </w:tc>
        <w:tc>
          <w:tcPr>
            <w:tcW w:w="5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Advance payments from customers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(9,915)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(16,062)</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Other financial liabilities</w:t>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(20,111)</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(11,582)</w:t>
            </w:r>
          </w:p>
        </w:tc>
        <w:tc>
          <w:tcPr>
            <w:tcW w:w="3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Total financial liabilities measured at amortized cost</w:t>
            </w:r>
          </w:p>
        </w:tc>
        <w:tc>
          <w:tcPr>
            <w:tcW w:w="104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(6,531,881)</w:t>
            </w:r>
          </w:p>
        </w:tc>
        <w:tc>
          <w:tcPr>
            <w:tcW w:w="2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(1,108,748)</w:t>
            </w:r>
          </w:p>
        </w:tc>
        <w:tc>
          <w:tcPr>
            <w:tcW w:w="3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(5,749,118)</w:t>
            </w:r>
          </w:p>
        </w:tc>
        <w:tc>
          <w:tcPr>
            <w:tcW w:w="33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(2,624,341)</w:t>
            </w:r>
          </w:p>
        </w:tc>
        <w:tc>
          <w:tcPr>
            <w:tcW w:w="52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60655"/>
                <wp:effectExtent l="0" t="0" r="0" b="0"/>
                <wp:wrapNone/>
                <wp:docPr id="45" name="Frame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2"/>
                              <w:jc w:val="center"/>
                              <w:rPr>
                                <w:rFonts w:ascii="Times New Roman;serif" w:hAnsi="Times New Roman;serif"/>
                                <w:b w:val="false"/>
                                <w:color w:val="000000"/>
                                <w:sz w:val="22"/>
                              </w:rPr>
                            </w:pPr>
                            <w:r>
                              <w:rPr>
                                <w:rFonts w:ascii="Times New Roman;serif" w:hAnsi="Times New Roman;serif"/>
                                <w:b w:val="false"/>
                                <w:color w:val="000000"/>
                                <w:sz w:val="22"/>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
                        <w:jc w:val="center"/>
                        <w:rPr>
                          <w:rFonts w:ascii="Times New Roman;serif" w:hAnsi="Times New Roman;serif"/>
                          <w:b w:val="false"/>
                          <w:color w:val="000000"/>
                          <w:sz w:val="22"/>
                        </w:rPr>
                      </w:pPr>
                      <w:r>
                        <w:rPr>
                          <w:rFonts w:ascii="Times New Roman;serif" w:hAnsi="Times New Roman;serif"/>
                          <w:b w:val="false"/>
                          <w:color w:val="000000"/>
                          <w:sz w:val="22"/>
                        </w:rPr>
                        <w:t>F-18</w:t>
                      </w:r>
                    </w:p>
                  </w:txbxContent>
                </v:textbox>
                <w10:wrap type="none"/>
              </v:rect>
            </w:pict>
          </mc:Fallback>
        </mc:AlternateContent>
      </w:r>
    </w:p>
    <w:p>
      <w:pPr>
        <w:pStyle w:val="TextBody"/>
        <w:bidi w:val="0"/>
        <w:spacing w:lineRule="auto" w:line="240" w:before="0" w:after="0"/>
        <w:jc w:val="center"/>
        <w:rPr>
          <w:rFonts w:ascii="Times New Roman;serif" w:hAnsi="Times New Roman;serif"/>
          <w:b w:val="false"/>
          <w:color w:val="B6B6B6"/>
          <w:sz w:val="18"/>
        </w:rPr>
      </w:pPr>
      <w:r>
        <w:rPr>
          <w:rFonts w:ascii="Times New Roman;serif" w:hAnsi="Times New Roman;serif"/>
          <w:b w:val="false"/>
          <w:color w:val="B6B6B6"/>
          <w:sz w:val="18"/>
        </w:rPr>
        <w:t>Notes to the Unaudited Condensed Consolidated Interim Financial Statements</w:t>
      </w:r>
    </w:p>
    <w:p>
      <w:pPr>
        <w:pStyle w:val="TextBody"/>
        <w:bidi w:val="0"/>
        <w:spacing w:lineRule="auto" w:line="319" w:before="0" w:after="2"/>
        <w:jc w:val="center"/>
        <w:rPr>
          <w:rFonts w:ascii="Times New Roman;serif" w:hAnsi="Times New Roman;serif"/>
          <w:b w:val="false"/>
          <w:color w:val="B6B6B6"/>
          <w:sz w:val="18"/>
        </w:rPr>
      </w:pPr>
      <w:r>
        <w:rPr>
          <w:rFonts w:ascii="Times New Roman;serif" w:hAnsi="Times New Roman;serif"/>
          <w:b w:val="false"/>
          <w:color w:val="B6B6B6"/>
          <w:sz w:val="18"/>
        </w:rPr>
        <w:t>(in thousands of U.S. dollars unless otherwise stated)</w:t>
      </w:r>
    </w:p>
    <w:p>
      <w:pPr>
        <w:pStyle w:val="TextBody"/>
        <w:bidi w:val="0"/>
        <w:spacing w:lineRule="auto" w:line="319" w:before="0" w:after="2"/>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maturities for the Group's non-derivative financial assets and liabilities as of June 30, 2026 and as of December 31, 2025:</w:t>
      </w:r>
    </w:p>
    <w:tbl>
      <w:tblPr>
        <w:tblW w:w="10205" w:type="dxa"/>
        <w:jc w:val="left"/>
        <w:tblInd w:w="0" w:type="dxa"/>
        <w:tblLayout w:type="fixed"/>
        <w:tblCellMar>
          <w:top w:w="28" w:type="dxa"/>
          <w:left w:w="28" w:type="dxa"/>
          <w:bottom w:w="28" w:type="dxa"/>
          <w:right w:w="28" w:type="dxa"/>
        </w:tblCellMar>
      </w:tblPr>
      <w:tblGrid>
        <w:gridCol w:w="1415"/>
        <w:gridCol w:w="1181"/>
        <w:gridCol w:w="1190"/>
        <w:gridCol w:w="529"/>
        <w:gridCol w:w="513"/>
        <w:gridCol w:w="455"/>
        <w:gridCol w:w="728"/>
        <w:gridCol w:w="651"/>
        <w:gridCol w:w="654"/>
        <w:gridCol w:w="584"/>
        <w:gridCol w:w="506"/>
        <w:gridCol w:w="503"/>
        <w:gridCol w:w="517"/>
        <w:gridCol w:w="518"/>
        <w:gridCol w:w="261"/>
      </w:tblGrid>
      <w:tr>
        <w:trPr/>
        <w:tc>
          <w:tcPr>
            <w:tcW w:w="141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37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9" w:type="dxa"/>
            <w:gridSpan w:val="12"/>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As of June 30, 2026</w:t>
            </w:r>
          </w:p>
        </w:tc>
      </w:tr>
      <w:tr>
        <w:trPr/>
        <w:tc>
          <w:tcPr>
            <w:tcW w:w="3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Due within 1 year</w:t>
            </w:r>
          </w:p>
        </w:tc>
        <w:tc>
          <w:tcPr>
            <w:tcW w:w="203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Due between 1 and 5 years</w:t>
            </w:r>
          </w:p>
        </w:tc>
        <w:tc>
          <w:tcPr>
            <w:tcW w:w="159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Due beyond 5 years</w:t>
            </w:r>
          </w:p>
        </w:tc>
        <w:tc>
          <w:tcPr>
            <w:tcW w:w="129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786"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Financial assets</w:t>
            </w:r>
          </w:p>
        </w:tc>
        <w:tc>
          <w:tcPr>
            <w:tcW w:w="149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887,577 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887,577 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Trade receivables and other receivables</w:t>
            </w:r>
          </w:p>
        </w:tc>
        <w:tc>
          <w:tcPr>
            <w:tcW w:w="104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363,885 </w:t>
            </w:r>
          </w:p>
        </w:tc>
        <w:tc>
          <w:tcPr>
            <w:tcW w:w="4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6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363,885 </w:t>
            </w:r>
          </w:p>
        </w:tc>
        <w:tc>
          <w:tcPr>
            <w:tcW w:w="2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Restricted deposits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5,898 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67,257 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73,155 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Other financial assets</w:t>
            </w:r>
          </w:p>
        </w:tc>
        <w:tc>
          <w:tcPr>
            <w:tcW w:w="104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26,089 </w:t>
            </w:r>
          </w:p>
        </w:tc>
        <w:tc>
          <w:tcPr>
            <w:tcW w:w="4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11,710 </w:t>
            </w:r>
          </w:p>
        </w:tc>
        <w:tc>
          <w:tcPr>
            <w:tcW w:w="6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2,771 </w:t>
            </w:r>
          </w:p>
        </w:tc>
        <w:tc>
          <w:tcPr>
            <w:tcW w:w="5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40,570 </w:t>
            </w:r>
          </w:p>
        </w:tc>
        <w:tc>
          <w:tcPr>
            <w:tcW w:w="2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Total financial assets measured at amortized cost</w:t>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1,283,449</w:t>
            </w:r>
            <w:r>
              <w:rPr>
                <w:color w:val="000000"/>
              </w:rPr>
              <w:t> </w:t>
            </w:r>
          </w:p>
        </w:tc>
        <w:tc>
          <w:tcPr>
            <w:tcW w:w="4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78,967</w:t>
            </w:r>
            <w:r>
              <w:rPr>
                <w:color w:val="000000"/>
              </w:rPr>
              <w:t> </w:t>
            </w:r>
          </w:p>
        </w:tc>
        <w:tc>
          <w:tcPr>
            <w:tcW w:w="6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2,771</w:t>
            </w:r>
            <w:r>
              <w:rPr>
                <w:color w:val="000000"/>
              </w:rPr>
              <w:t> </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1,365,187</w:t>
            </w:r>
            <w:r>
              <w:rPr>
                <w:color w:val="000000"/>
              </w:rPr>
              <w:t>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149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Loans and borrowings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(4,956,555)</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(281,475)</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(665,345)</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(5,903,375)</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Trade payables</w:t>
            </w:r>
          </w:p>
        </w:tc>
        <w:tc>
          <w:tcPr>
            <w:tcW w:w="104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(894,797)</w:t>
            </w:r>
          </w:p>
        </w:tc>
        <w:tc>
          <w:tcPr>
            <w:tcW w:w="4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6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(894,797)</w:t>
            </w:r>
          </w:p>
        </w:tc>
        <w:tc>
          <w:tcPr>
            <w:tcW w:w="2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(319,045)</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(319,045)</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Refund liabilities</w:t>
            </w:r>
          </w:p>
        </w:tc>
        <w:tc>
          <w:tcPr>
            <w:tcW w:w="104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(171,734)</w:t>
            </w:r>
          </w:p>
        </w:tc>
        <w:tc>
          <w:tcPr>
            <w:tcW w:w="4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(73,212)</w:t>
            </w:r>
          </w:p>
        </w:tc>
        <w:tc>
          <w:tcPr>
            <w:tcW w:w="6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(244,946)</w:t>
            </w:r>
          </w:p>
        </w:tc>
        <w:tc>
          <w:tcPr>
            <w:tcW w:w="2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(28,641)</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(74,074)</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(10,386)</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(113,101)</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Liabilities related to repurchase commitments</w:t>
            </w:r>
          </w:p>
        </w:tc>
        <w:tc>
          <w:tcPr>
            <w:tcW w:w="104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(131,083)</w:t>
            </w:r>
          </w:p>
        </w:tc>
        <w:tc>
          <w:tcPr>
            <w:tcW w:w="4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(4,256)</w:t>
            </w:r>
          </w:p>
        </w:tc>
        <w:tc>
          <w:tcPr>
            <w:tcW w:w="6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(135,339)</w:t>
            </w:r>
          </w:p>
        </w:tc>
        <w:tc>
          <w:tcPr>
            <w:tcW w:w="2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Advance payments from customers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(9,915)</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(9,915)</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Other financial liabilities</w:t>
            </w:r>
          </w:p>
        </w:tc>
        <w:tc>
          <w:tcPr>
            <w:tcW w:w="104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(20,111)</w:t>
            </w:r>
          </w:p>
        </w:tc>
        <w:tc>
          <w:tcPr>
            <w:tcW w:w="4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6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(20,111)</w:t>
            </w:r>
          </w:p>
        </w:tc>
        <w:tc>
          <w:tcPr>
            <w:tcW w:w="2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Total financial liabilities measured at amortized cost</w:t>
            </w:r>
          </w:p>
        </w:tc>
        <w:tc>
          <w:tcPr>
            <w:tcW w:w="104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(6,531,881)</w:t>
            </w:r>
          </w:p>
        </w:tc>
        <w:tc>
          <w:tcPr>
            <w:tcW w:w="4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(433,017)</w:t>
            </w:r>
          </w:p>
        </w:tc>
        <w:tc>
          <w:tcPr>
            <w:tcW w:w="6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(675,731)</w:t>
            </w:r>
          </w:p>
        </w:tc>
        <w:tc>
          <w:tcPr>
            <w:tcW w:w="5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(7,640,629)</w:t>
            </w:r>
          </w:p>
        </w:tc>
        <w:tc>
          <w:tcPr>
            <w:tcW w:w="2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413"/>
        <w:gridCol w:w="1179"/>
        <w:gridCol w:w="1188"/>
        <w:gridCol w:w="529"/>
        <w:gridCol w:w="512"/>
        <w:gridCol w:w="455"/>
        <w:gridCol w:w="763"/>
        <w:gridCol w:w="650"/>
        <w:gridCol w:w="653"/>
        <w:gridCol w:w="562"/>
        <w:gridCol w:w="501"/>
        <w:gridCol w:w="503"/>
        <w:gridCol w:w="517"/>
        <w:gridCol w:w="518"/>
        <w:gridCol w:w="262"/>
      </w:tblGrid>
      <w:tr>
        <w:trPr/>
        <w:tc>
          <w:tcPr>
            <w:tcW w:w="141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5" w:type="dxa"/>
            <w:gridSpan w:val="12"/>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Due within 1 year</w:t>
            </w:r>
          </w:p>
        </w:tc>
        <w:tc>
          <w:tcPr>
            <w:tcW w:w="20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Due between 1 and 5 years</w:t>
            </w:r>
          </w:p>
        </w:tc>
        <w:tc>
          <w:tcPr>
            <w:tcW w:w="15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Due beyond 5 years</w:t>
            </w:r>
          </w:p>
        </w:tc>
        <w:tc>
          <w:tcPr>
            <w:tcW w:w="12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780"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Financial assets</w:t>
            </w:r>
          </w:p>
        </w:tc>
        <w:tc>
          <w:tcPr>
            <w:tcW w:w="14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1,159,300 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1,159,300 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Trade receivables and other receivables</w:t>
            </w:r>
          </w:p>
        </w:tc>
        <w:tc>
          <w:tcPr>
            <w:tcW w:w="104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341,881 </w:t>
            </w:r>
          </w:p>
        </w:tc>
        <w:tc>
          <w:tcPr>
            <w:tcW w:w="4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6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341,881 </w:t>
            </w:r>
          </w:p>
        </w:tc>
        <w:tc>
          <w:tcPr>
            <w:tcW w:w="2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Restricted deposits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19,188 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38,934 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58,122 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Other financial assets</w:t>
            </w:r>
          </w:p>
        </w:tc>
        <w:tc>
          <w:tcPr>
            <w:tcW w:w="104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49,079 </w:t>
            </w:r>
          </w:p>
        </w:tc>
        <w:tc>
          <w:tcPr>
            <w:tcW w:w="4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11,482 </w:t>
            </w:r>
          </w:p>
        </w:tc>
        <w:tc>
          <w:tcPr>
            <w:tcW w:w="6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2,858 </w:t>
            </w:r>
          </w:p>
        </w:tc>
        <w:tc>
          <w:tcPr>
            <w:tcW w:w="5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63,419 </w:t>
            </w:r>
          </w:p>
        </w:tc>
        <w:tc>
          <w:tcPr>
            <w:tcW w:w="2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Total financial assets measured at amortized cost</w:t>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1,569,448</w:t>
            </w:r>
            <w:r>
              <w:rPr>
                <w:color w:val="000000"/>
              </w:rPr>
              <w:t> </w:t>
            </w:r>
          </w:p>
        </w:tc>
        <w:tc>
          <w:tcPr>
            <w:tcW w:w="4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50,416</w:t>
            </w:r>
            <w:r>
              <w:rPr>
                <w:color w:val="000000"/>
              </w:rPr>
              <w:t> </w:t>
            </w:r>
          </w:p>
        </w:tc>
        <w:tc>
          <w:tcPr>
            <w:tcW w:w="6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2,858</w:t>
            </w:r>
            <w:r>
              <w:rPr>
                <w:color w:val="000000"/>
              </w:rPr>
              <w:t> </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1,622,722</w:t>
            </w:r>
            <w:r>
              <w:rPr>
                <w:color w:val="000000"/>
              </w:rPr>
              <w:t>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14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Loans and borrowings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(3,860,675)</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(2,499,230)</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(6,359,905)</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Trade payables</w:t>
            </w:r>
          </w:p>
        </w:tc>
        <w:tc>
          <w:tcPr>
            <w:tcW w:w="104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(1,107,162)</w:t>
            </w:r>
          </w:p>
        </w:tc>
        <w:tc>
          <w:tcPr>
            <w:tcW w:w="4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6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(1,107,162)</w:t>
            </w:r>
          </w:p>
        </w:tc>
        <w:tc>
          <w:tcPr>
            <w:tcW w:w="2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(424,152)</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(424,152)</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Refund liabilities</w:t>
            </w:r>
          </w:p>
        </w:tc>
        <w:tc>
          <w:tcPr>
            <w:tcW w:w="104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(167,642)</w:t>
            </w:r>
          </w:p>
        </w:tc>
        <w:tc>
          <w:tcPr>
            <w:tcW w:w="4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(30,875)</w:t>
            </w:r>
          </w:p>
        </w:tc>
        <w:tc>
          <w:tcPr>
            <w:tcW w:w="6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(198,517)</w:t>
            </w:r>
          </w:p>
        </w:tc>
        <w:tc>
          <w:tcPr>
            <w:tcW w:w="2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(37,210)</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(67,621)</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(25,893)</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(130,724)</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Liabilities related to repurchase commitments</w:t>
            </w:r>
          </w:p>
        </w:tc>
        <w:tc>
          <w:tcPr>
            <w:tcW w:w="104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(124,633)</w:t>
            </w:r>
          </w:p>
        </w:tc>
        <w:tc>
          <w:tcPr>
            <w:tcW w:w="4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(722)</w:t>
            </w:r>
          </w:p>
        </w:tc>
        <w:tc>
          <w:tcPr>
            <w:tcW w:w="6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(125,355)</w:t>
            </w:r>
          </w:p>
        </w:tc>
        <w:tc>
          <w:tcPr>
            <w:tcW w:w="2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Advance payments from customers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(16,062)</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(16,062)</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Other financial liabilities</w:t>
            </w:r>
          </w:p>
        </w:tc>
        <w:tc>
          <w:tcPr>
            <w:tcW w:w="104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(11,582)</w:t>
            </w:r>
          </w:p>
        </w:tc>
        <w:tc>
          <w:tcPr>
            <w:tcW w:w="4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6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(11,582)</w:t>
            </w:r>
          </w:p>
        </w:tc>
        <w:tc>
          <w:tcPr>
            <w:tcW w:w="2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Total financial liabilities measured at amortized cost</w:t>
            </w:r>
          </w:p>
        </w:tc>
        <w:tc>
          <w:tcPr>
            <w:tcW w:w="104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(5,749,118)</w:t>
            </w:r>
          </w:p>
        </w:tc>
        <w:tc>
          <w:tcPr>
            <w:tcW w:w="4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(2,598,448)</w:t>
            </w:r>
          </w:p>
        </w:tc>
        <w:tc>
          <w:tcPr>
            <w:tcW w:w="65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(25,893)</w:t>
            </w:r>
          </w:p>
        </w:tc>
        <w:tc>
          <w:tcPr>
            <w:tcW w:w="5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(8,373,459)</w:t>
            </w:r>
          </w:p>
        </w:tc>
        <w:tc>
          <w:tcPr>
            <w:tcW w:w="2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60655"/>
                <wp:effectExtent l="0" t="0" r="0" b="0"/>
                <wp:wrapNone/>
                <wp:docPr id="46" name="Frame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2"/>
                              <w:jc w:val="center"/>
                              <w:rPr>
                                <w:rFonts w:ascii="Times New Roman;serif" w:hAnsi="Times New Roman;serif"/>
                                <w:b w:val="false"/>
                                <w:color w:val="000000"/>
                                <w:sz w:val="22"/>
                              </w:rPr>
                            </w:pPr>
                            <w:r>
                              <w:rPr>
                                <w:rFonts w:ascii="Times New Roman;serif" w:hAnsi="Times New Roman;serif"/>
                                <w:b w:val="false"/>
                                <w:color w:val="000000"/>
                                <w:sz w:val="22"/>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
                        <w:jc w:val="center"/>
                        <w:rPr>
                          <w:rFonts w:ascii="Times New Roman;serif" w:hAnsi="Times New Roman;serif"/>
                          <w:b w:val="false"/>
                          <w:color w:val="000000"/>
                          <w:sz w:val="22"/>
                        </w:rPr>
                      </w:pPr>
                      <w:r>
                        <w:rPr>
                          <w:rFonts w:ascii="Times New Roman;serif" w:hAnsi="Times New Roman;serif"/>
                          <w:b w:val="false"/>
                          <w:color w:val="000000"/>
                          <w:sz w:val="22"/>
                        </w:rPr>
                        <w:t>F-19</w:t>
                      </w:r>
                    </w:p>
                  </w:txbxContent>
                </v:textbox>
                <w10:wrap type="none"/>
              </v:rect>
            </w:pict>
          </mc:Fallback>
        </mc:AlternateContent>
      </w:r>
    </w:p>
    <w:p>
      <w:pPr>
        <w:pStyle w:val="TextBody"/>
        <w:bidi w:val="0"/>
        <w:spacing w:lineRule="auto" w:line="240" w:before="0" w:after="0"/>
        <w:jc w:val="center"/>
        <w:rPr>
          <w:rFonts w:ascii="Times New Roman;serif" w:hAnsi="Times New Roman;serif"/>
          <w:b w:val="false"/>
          <w:color w:val="B6B6B6"/>
          <w:sz w:val="18"/>
        </w:rPr>
      </w:pPr>
      <w:r>
        <w:rPr>
          <w:rFonts w:ascii="Times New Roman;serif" w:hAnsi="Times New Roman;serif"/>
          <w:b w:val="false"/>
          <w:color w:val="B6B6B6"/>
          <w:sz w:val="18"/>
        </w:rPr>
        <w:t>Notes to the Unaudited Condensed Consolidated Interim Financial Statements</w:t>
      </w:r>
    </w:p>
    <w:p>
      <w:pPr>
        <w:pStyle w:val="TextBody"/>
        <w:bidi w:val="0"/>
        <w:spacing w:lineRule="auto" w:line="319" w:before="0" w:after="2"/>
        <w:jc w:val="center"/>
        <w:rPr>
          <w:rFonts w:ascii="Times New Roman;serif" w:hAnsi="Times New Roman;serif"/>
          <w:b w:val="false"/>
          <w:color w:val="B6B6B6"/>
          <w:sz w:val="18"/>
        </w:rPr>
      </w:pPr>
      <w:r>
        <w:rPr>
          <w:rFonts w:ascii="Times New Roman;serif" w:hAnsi="Times New Roman;serif"/>
          <w:b w:val="false"/>
          <w:color w:val="B6B6B6"/>
          <w:sz w:val="18"/>
        </w:rPr>
        <w:t>(in thousands of U.S. dollars unless otherwise stated)</w:t>
      </w:r>
    </w:p>
    <w:p>
      <w:pPr>
        <w:pStyle w:val="TextBody"/>
        <w:bidi w:val="0"/>
        <w:spacing w:lineRule="auto" w:line="319" w:before="0" w:after="2"/>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carrying amounts of financial liabilities measured at fair value through profit and loss on a recurring basis:</w:t>
      </w:r>
    </w:p>
    <w:tbl>
      <w:tblPr>
        <w:tblW w:w="10205" w:type="dxa"/>
        <w:jc w:val="left"/>
        <w:tblInd w:w="0" w:type="dxa"/>
        <w:tblLayout w:type="fixed"/>
        <w:tblCellMar>
          <w:top w:w="28" w:type="dxa"/>
          <w:left w:w="28" w:type="dxa"/>
          <w:bottom w:w="28" w:type="dxa"/>
          <w:right w:w="28" w:type="dxa"/>
        </w:tblCellMar>
      </w:tblPr>
      <w:tblGrid>
        <w:gridCol w:w="770"/>
        <w:gridCol w:w="616"/>
        <w:gridCol w:w="622"/>
        <w:gridCol w:w="835"/>
        <w:gridCol w:w="819"/>
        <w:gridCol w:w="822"/>
        <w:gridCol w:w="769"/>
        <w:gridCol w:w="769"/>
        <w:gridCol w:w="771"/>
        <w:gridCol w:w="839"/>
        <w:gridCol w:w="839"/>
        <w:gridCol w:w="841"/>
        <w:gridCol w:w="315"/>
        <w:gridCol w:w="316"/>
        <w:gridCol w:w="262"/>
      </w:tblGrid>
      <w:tr>
        <w:trPr/>
        <w:tc>
          <w:tcPr>
            <w:tcW w:w="7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0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Quoted prices in active markets</w:t>
            </w:r>
          </w:p>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(Level 1)</w:t>
            </w:r>
          </w:p>
        </w:tc>
        <w:tc>
          <w:tcPr>
            <w:tcW w:w="2309"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Significant observable inputs</w:t>
            </w:r>
          </w:p>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(Level 2)</w:t>
            </w:r>
          </w:p>
        </w:tc>
        <w:tc>
          <w:tcPr>
            <w:tcW w:w="2519"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Significant unobservable inputs</w:t>
            </w:r>
          </w:p>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(Level 3)</w:t>
            </w:r>
          </w:p>
        </w:tc>
        <w:tc>
          <w:tcPr>
            <w:tcW w:w="893"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As of June 30, 2026</w:t>
            </w:r>
          </w:p>
        </w:tc>
        <w:tc>
          <w:tcPr>
            <w:tcW w:w="24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Earn-out rights</w:t>
            </w:r>
          </w:p>
        </w:tc>
        <w:tc>
          <w:tcPr>
            <w:tcW w:w="1654"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8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8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2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Class C-1 Shares</w:t>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Class C-2 Shares</w:t>
            </w:r>
          </w:p>
        </w:tc>
        <w:tc>
          <w:tcPr>
            <w:tcW w:w="1654"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8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7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8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2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Total</w:t>
            </w:r>
          </w:p>
        </w:tc>
        <w:tc>
          <w:tcPr>
            <w:tcW w:w="16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1,715</w:t>
            </w:r>
            <w:r>
              <w:rPr>
                <w:color w:val="000000"/>
              </w:rPr>
              <w:t> </w:t>
            </w:r>
          </w:p>
        </w:tc>
        <w:tc>
          <w:tcPr>
            <w:tcW w:w="8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376</w:t>
            </w:r>
            <w:r>
              <w:rPr>
                <w:color w:val="000000"/>
              </w:rPr>
              <w:t> </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422</w:t>
            </w:r>
            <w:r>
              <w:rPr>
                <w:color w:val="000000"/>
              </w:rPr>
              <w:t> </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2,513</w:t>
            </w:r>
            <w:r>
              <w:rPr>
                <w:color w:val="000000"/>
              </w:rPr>
              <w:t>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As of December 31, 2025</w:t>
            </w:r>
          </w:p>
        </w:tc>
        <w:tc>
          <w:tcPr>
            <w:tcW w:w="247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Earn-out rights</w:t>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3,579 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3,579 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Class C-1 Shares</w:t>
            </w:r>
          </w:p>
        </w:tc>
        <w:tc>
          <w:tcPr>
            <w:tcW w:w="1654"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4,353 </w:t>
            </w:r>
          </w:p>
        </w:tc>
        <w:tc>
          <w:tcPr>
            <w:tcW w:w="8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8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4,353 </w:t>
            </w:r>
          </w:p>
        </w:tc>
        <w:tc>
          <w:tcPr>
            <w:tcW w:w="2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Class C-2 Shares</w:t>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Total</w:t>
            </w:r>
          </w:p>
        </w:tc>
        <w:tc>
          <w:tcPr>
            <w:tcW w:w="1654"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4,353</w:t>
            </w:r>
            <w:r>
              <w:rPr>
                <w:color w:val="000000"/>
              </w:rPr>
              <w:t> </w:t>
            </w:r>
          </w:p>
        </w:tc>
        <w:tc>
          <w:tcPr>
            <w:tcW w:w="82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955</w:t>
            </w:r>
            <w:r>
              <w:rPr>
                <w:color w:val="000000"/>
              </w:rPr>
              <w:t> </w:t>
            </w:r>
          </w:p>
        </w:tc>
        <w:tc>
          <w:tcPr>
            <w:tcW w:w="77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3,579</w:t>
            </w:r>
            <w:r>
              <w:rPr>
                <w:color w:val="000000"/>
              </w:rPr>
              <w:t> </w:t>
            </w:r>
          </w:p>
        </w:tc>
        <w:tc>
          <w:tcPr>
            <w:tcW w:w="84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8,887</w:t>
            </w:r>
            <w:r>
              <w:rPr>
                <w:color w:val="000000"/>
              </w:rPr>
              <w:t> </w:t>
            </w:r>
          </w:p>
        </w:tc>
        <w:tc>
          <w:tcPr>
            <w:tcW w:w="26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There were no transfers between Level 1 and Level 2 in the six months ended June 30, 2026 and 2025.</w:t>
      </w:r>
    </w:p>
    <w:p>
      <w:pPr>
        <w:pStyle w:val="TextBody"/>
        <w:bidi w:val="0"/>
        <w:spacing w:lineRule="auto" w:line="240" w:before="240" w:after="283"/>
        <w:jc w:val="both"/>
        <w:rPr>
          <w:rFonts w:ascii="Times New Roman;serif" w:hAnsi="Times New Roman;serif"/>
          <w:b w:val="false"/>
          <w:i/>
          <w:color w:val="000000"/>
          <w:sz w:val="20"/>
        </w:rPr>
      </w:pPr>
      <w:r>
        <w:rPr>
          <w:rFonts w:ascii="Times New Roman;serif" w:hAnsi="Times New Roman;serif"/>
          <w:b w:val="false"/>
          <w:i/>
          <w:color w:val="000000"/>
          <w:sz w:val="20"/>
        </w:rPr>
        <w:t>Significant unobservable inputs to valuation of the contingent earn-out rights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 valuation technique for determining the fair value of the earn-out rights and the inputs used were unchanged from those described in the Group's 2025 Consolidated Financial Statements. The following table presents the variables considered in the valuation and the earn-out fair value:</w:t>
      </w:r>
    </w:p>
    <w:tbl>
      <w:tblPr>
        <w:tblW w:w="5187" w:type="dxa"/>
        <w:jc w:val="left"/>
        <w:tblInd w:w="0" w:type="dxa"/>
        <w:tblLayout w:type="fixed"/>
        <w:tblCellMar>
          <w:top w:w="28" w:type="dxa"/>
          <w:left w:w="28" w:type="dxa"/>
          <w:bottom w:w="28" w:type="dxa"/>
          <w:right w:w="28" w:type="dxa"/>
        </w:tblCellMar>
      </w:tblPr>
      <w:tblGrid>
        <w:gridCol w:w="440"/>
        <w:gridCol w:w="386"/>
        <w:gridCol w:w="388"/>
        <w:gridCol w:w="384"/>
        <w:gridCol w:w="384"/>
        <w:gridCol w:w="971"/>
        <w:gridCol w:w="455"/>
        <w:gridCol w:w="455"/>
        <w:gridCol w:w="1324"/>
      </w:tblGrid>
      <w:tr>
        <w:trPr/>
        <w:tc>
          <w:tcPr>
            <w:tcW w:w="44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As of June 30, 2026</w:t>
            </w:r>
          </w:p>
        </w:tc>
        <w:tc>
          <w:tcPr>
            <w:tcW w:w="223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1214"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Term in years</w:t>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9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3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768"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971" w:type="dxa"/>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324" w:type="dxa"/>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97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32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volatility represents the most significant unobservable input utilized in this Level 3 valuation technique. As of June 30, 2026, a 1% increase in the volatility would have resulted in a decrease in fair value of $3, and a 1% decrease in the volatility would have resulted in a decrease in fair value of $86.</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table that follows shows the changes in the fair value of the earn-out rights in the periods presented:</w:t>
      </w:r>
    </w:p>
    <w:tbl>
      <w:tblPr>
        <w:tblW w:w="4334" w:type="dxa"/>
        <w:jc w:val="left"/>
        <w:tblInd w:w="0" w:type="dxa"/>
        <w:tblLayout w:type="fixed"/>
        <w:tblCellMar>
          <w:top w:w="28" w:type="dxa"/>
          <w:left w:w="28" w:type="dxa"/>
          <w:bottom w:w="28" w:type="dxa"/>
          <w:right w:w="28" w:type="dxa"/>
        </w:tblCellMar>
      </w:tblPr>
      <w:tblGrid>
        <w:gridCol w:w="1043"/>
        <w:gridCol w:w="917"/>
        <w:gridCol w:w="920"/>
        <w:gridCol w:w="425"/>
        <w:gridCol w:w="425"/>
        <w:gridCol w:w="604"/>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Earn-out rights</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As of January 1, 2026</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3,579 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Change in fair value measurement</w:t>
            </w:r>
          </w:p>
        </w:tc>
        <w:tc>
          <w:tcPr>
            <w:tcW w:w="850"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(3,157)</w:t>
            </w:r>
          </w:p>
        </w:tc>
        <w:tc>
          <w:tcPr>
            <w:tcW w:w="60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As of June 30, 2026</w:t>
            </w:r>
          </w:p>
        </w:tc>
        <w:tc>
          <w:tcPr>
            <w:tcW w:w="8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422</w:t>
            </w:r>
            <w:r>
              <w:rPr>
                <w:color w:val="000000"/>
              </w:rPr>
              <w:t> </w:t>
            </w:r>
          </w:p>
        </w:tc>
        <w:tc>
          <w:tcPr>
            <w:tcW w:w="6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As of January 1, 2025</w:t>
            </w:r>
          </w:p>
        </w:tc>
        <w:tc>
          <w:tcPr>
            <w:tcW w:w="85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28,778 </w:t>
            </w:r>
          </w:p>
        </w:tc>
        <w:tc>
          <w:tcPr>
            <w:tcW w:w="60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Change in fair value measurement</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(15,813)</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As of June 30, 2025</w:t>
            </w:r>
          </w:p>
        </w:tc>
        <w:tc>
          <w:tcPr>
            <w:tcW w:w="850"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12,965</w:t>
            </w:r>
            <w:r>
              <w:rPr>
                <w:color w:val="000000"/>
              </w:rPr>
              <w:t> </w:t>
            </w:r>
          </w:p>
        </w:tc>
        <w:tc>
          <w:tcPr>
            <w:tcW w:w="60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earn-out liability is presented in non-current liabilities within the Unaudited Condensed Consolidated Statement of Financial Position to align with the expected timing of the underlying earn-out payments.</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Risk management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As a result of its business and the global nature of its operations, Polestar Group is exposed to market risks, primarily from changes in foreign currency exchange rates and interest rate risk, credit risk and liquidity risk. As of June 30, 2026, there were no significant changes in the risks to which the Group is exposed or in its management of risk from December 31, 2025.</w:t>
      </w:r>
    </w:p>
    <w:p>
      <w:pPr>
        <w:pStyle w:val="TextBody"/>
        <w:bidi w:val="0"/>
        <w:spacing w:lineRule="auto" w:line="240" w:before="120" w:after="283"/>
        <w:jc w:val="both"/>
        <w:rPr/>
      </w:pPr>
      <w:r>
        <w:rPr>
          <w:rFonts w:ascii="Times New Roman;serif" w:hAnsi="Times New Roman;serif"/>
          <w:b w:val="false"/>
          <w:color w:val="000000"/>
          <w:sz w:val="20"/>
          <w:shd w:fill="FFFFFF" w:val="clear"/>
        </w:rPr>
        <w:t xml:space="preserve">During the six months ended June 30, 2026 Polestar began discussions with the syndicate of lenders for its Club Loan (refer to </w:t>
      </w:r>
      <w:r>
        <w:rPr>
          <w:rFonts w:ascii="Times New Roman;serif" w:hAnsi="Times New Roman;serif"/>
          <w:b w:val="false"/>
          <w:i/>
          <w:color w:val="000000"/>
          <w:sz w:val="20"/>
          <w:shd w:fill="FFFFFF" w:val="clear"/>
        </w:rPr>
        <w:t>Note 13 - Loans and borrowings</w:t>
      </w:r>
      <w:r>
        <w:rPr>
          <w:color w:val="000000"/>
          <w:shd w:fill="FFFFFF" w:val="clear"/>
        </w:rPr>
        <w:t xml:space="preserve"> </w:t>
      </w:r>
      <w:r>
        <w:rPr>
          <w:rFonts w:ascii="Times New Roman;serif" w:hAnsi="Times New Roman;serif"/>
          <w:b w:val="false"/>
          <w:color w:val="000000"/>
          <w:sz w:val="20"/>
          <w:shd w:fill="FFFFFF" w:val="clear"/>
        </w:rPr>
        <w:t>for further information) in relation to its covenants. Prior to June 30, 2026, the required majority of lenders agreed to amend the debt-to-asset ratio range for the calculation as of June 30, 2026. As a result, Polestar was in compliance with this covenant as of June 30, 2026.</w:t>
      </w:r>
      <w:r>
        <w:rPr>
          <w:color w:val="000000"/>
        </w:rPr>
        <w:t xml:space="preserve"> </w:t>
      </w:r>
      <w:r>
        <w:rPr>
          <w:rFonts w:ascii="Times New Roman;serif" w:hAnsi="Times New Roman;serif"/>
          <w:b w:val="false"/>
          <w:color w:val="000000"/>
          <w:sz w:val="20"/>
        </w:rPr>
        <w:t>The lenders also agreed to amend the debt-to-asset ratio range for the calculation as of September 30, 2026 from 0.85:1 to 1.40:1 and December 31, 2026 from 0.80:1 to 1.30:1, respectively, as well as the minimum revenue requirement for the calendar year 2026 from $8,670.2 million to $3,300.0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60655"/>
                <wp:effectExtent l="0" t="0" r="0" b="0"/>
                <wp:wrapNone/>
                <wp:docPr id="47" name="Frame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2"/>
                              <w:jc w:val="center"/>
                              <w:rPr>
                                <w:rFonts w:ascii="Times New Roman;serif" w:hAnsi="Times New Roman;serif"/>
                                <w:b w:val="false"/>
                                <w:color w:val="000000"/>
                                <w:sz w:val="22"/>
                              </w:rPr>
                            </w:pPr>
                            <w:r>
                              <w:rPr>
                                <w:rFonts w:ascii="Times New Roman;serif" w:hAnsi="Times New Roman;serif"/>
                                <w:b w:val="false"/>
                                <w:color w:val="000000"/>
                                <w:sz w:val="22"/>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
                        <w:jc w:val="center"/>
                        <w:rPr>
                          <w:rFonts w:ascii="Times New Roman;serif" w:hAnsi="Times New Roman;serif"/>
                          <w:b w:val="false"/>
                          <w:color w:val="000000"/>
                          <w:sz w:val="22"/>
                        </w:rPr>
                      </w:pPr>
                      <w:r>
                        <w:rPr>
                          <w:rFonts w:ascii="Times New Roman;serif" w:hAnsi="Times New Roman;serif"/>
                          <w:b w:val="false"/>
                          <w:color w:val="000000"/>
                          <w:sz w:val="22"/>
                        </w:rPr>
                        <w:t>F-20</w:t>
                      </w:r>
                    </w:p>
                  </w:txbxContent>
                </v:textbox>
                <w10:wrap type="none"/>
              </v:rect>
            </w:pict>
          </mc:Fallback>
        </mc:AlternateContent>
      </w:r>
    </w:p>
    <w:p>
      <w:pPr>
        <w:pStyle w:val="TextBody"/>
        <w:bidi w:val="0"/>
        <w:spacing w:lineRule="auto" w:line="240" w:before="0" w:after="0"/>
        <w:jc w:val="center"/>
        <w:rPr>
          <w:rFonts w:ascii="Times New Roman;serif" w:hAnsi="Times New Roman;serif"/>
          <w:b w:val="false"/>
          <w:color w:val="B6B6B6"/>
          <w:sz w:val="18"/>
        </w:rPr>
      </w:pPr>
      <w:r>
        <w:rPr>
          <w:rFonts w:ascii="Times New Roman;serif" w:hAnsi="Times New Roman;serif"/>
          <w:b w:val="false"/>
          <w:color w:val="B6B6B6"/>
          <w:sz w:val="18"/>
        </w:rPr>
        <w:t>Notes to the Unaudited Condensed Consolidated Interim Financial Statements</w:t>
      </w:r>
    </w:p>
    <w:p>
      <w:pPr>
        <w:pStyle w:val="TextBody"/>
        <w:bidi w:val="0"/>
        <w:spacing w:lineRule="auto" w:line="319" w:before="0" w:after="2"/>
        <w:jc w:val="center"/>
        <w:rPr>
          <w:rFonts w:ascii="Times New Roman;serif" w:hAnsi="Times New Roman;serif"/>
          <w:b w:val="false"/>
          <w:color w:val="B6B6B6"/>
          <w:sz w:val="18"/>
        </w:rPr>
      </w:pPr>
      <w:r>
        <w:rPr>
          <w:rFonts w:ascii="Times New Roman;serif" w:hAnsi="Times New Roman;serif"/>
          <w:b w:val="false"/>
          <w:color w:val="B6B6B6"/>
          <w:sz w:val="18"/>
        </w:rPr>
        <w:t>(in thousands of U.S. dollars unless otherwise stated)</w:t>
      </w: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 xml:space="preserve">Note 10 - Inventories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Group's inventory primarily consisted of vehicles as follows:</w:t>
      </w:r>
    </w:p>
    <w:tbl>
      <w:tblPr>
        <w:tblW w:w="8204" w:type="dxa"/>
        <w:jc w:val="left"/>
        <w:tblInd w:w="0" w:type="dxa"/>
        <w:tblLayout w:type="fixed"/>
        <w:tblCellMar>
          <w:top w:w="28" w:type="dxa"/>
          <w:left w:w="28" w:type="dxa"/>
          <w:bottom w:w="28" w:type="dxa"/>
          <w:right w:w="28" w:type="dxa"/>
        </w:tblCellMar>
      </w:tblPr>
      <w:tblGrid>
        <w:gridCol w:w="1531"/>
        <w:gridCol w:w="1347"/>
        <w:gridCol w:w="1351"/>
        <w:gridCol w:w="579"/>
        <w:gridCol w:w="579"/>
        <w:gridCol w:w="582"/>
        <w:gridCol w:w="653"/>
        <w:gridCol w:w="653"/>
        <w:gridCol w:w="929"/>
      </w:tblGrid>
      <w:tr>
        <w:trPr/>
        <w:tc>
          <w:tcPr>
            <w:tcW w:w="1531"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As of June 30, 2026</w:t>
            </w:r>
          </w:p>
        </w:tc>
        <w:tc>
          <w:tcPr>
            <w:tcW w:w="2235"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Finished goods and goods for resale</w:t>
            </w:r>
          </w:p>
        </w:tc>
        <w:tc>
          <w:tcPr>
            <w:tcW w:w="11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862,886 </w:t>
            </w:r>
          </w:p>
        </w:tc>
        <w:tc>
          <w:tcPr>
            <w:tcW w:w="5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1,024,942 </w:t>
            </w:r>
          </w:p>
        </w:tc>
        <w:tc>
          <w:tcPr>
            <w:tcW w:w="9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NRV adjustment (inventory impairment provision)</w:t>
            </w:r>
          </w:p>
        </w:tc>
        <w:tc>
          <w:tcPr>
            <w:tcW w:w="1158"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(142,900)</w:t>
            </w:r>
          </w:p>
        </w:tc>
        <w:tc>
          <w:tcPr>
            <w:tcW w:w="5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(171,863)</w:t>
            </w:r>
          </w:p>
        </w:tc>
        <w:tc>
          <w:tcPr>
            <w:tcW w:w="9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Total</w:t>
            </w:r>
          </w:p>
        </w:tc>
        <w:tc>
          <w:tcPr>
            <w:tcW w:w="115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719,986</w:t>
            </w:r>
            <w:r>
              <w:rPr>
                <w:color w:val="000000"/>
              </w:rPr>
              <w:t> </w:t>
            </w:r>
          </w:p>
        </w:tc>
        <w:tc>
          <w:tcPr>
            <w:tcW w:w="58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853,079</w:t>
            </w:r>
            <w:r>
              <w:rPr>
                <w:color w:val="000000"/>
              </w:rPr>
              <w:t> </w:t>
            </w:r>
          </w:p>
        </w:tc>
        <w:tc>
          <w:tcPr>
            <w:tcW w:w="9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Inventory costs recognized in cost of sales during the six months ended June 30, 2026 and 2025 amounted to $1,408,910 and $1,244,942, respectively.</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the write-down of inventories to net realizable value amounted to $87,752 and $81,056, respectively. The write-downs were recognized as an expense in Cost of sales.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Note 11 - Equity</w:t>
      </w:r>
    </w:p>
    <w:p>
      <w:pPr>
        <w:pStyle w:val="TextBody"/>
        <w:bidi w:val="0"/>
        <w:spacing w:lineRule="auto" w:line="240" w:before="120" w:after="120"/>
        <w:jc w:val="both"/>
        <w:rPr>
          <w:rFonts w:ascii="Times New Roman;serif" w:hAnsi="Times New Roman;serif"/>
          <w:b w:val="false"/>
          <w:color w:val="000000"/>
          <w:sz w:val="20"/>
        </w:rPr>
      </w:pPr>
      <w:r>
        <w:rPr>
          <w:rFonts w:ascii="Times New Roman;serif" w:hAnsi="Times New Roman;serif"/>
          <w:b w:val="false"/>
          <w:color w:val="000000"/>
          <w:sz w:val="20"/>
        </w:rPr>
        <w:t>Changes in the Group's equity were as follows:</w:t>
      </w:r>
    </w:p>
    <w:tbl>
      <w:tblPr>
        <w:tblW w:w="10205" w:type="dxa"/>
        <w:jc w:val="left"/>
        <w:tblInd w:w="0" w:type="dxa"/>
        <w:tblLayout w:type="fixed"/>
        <w:tblCellMar>
          <w:top w:w="28" w:type="dxa"/>
          <w:left w:w="28" w:type="dxa"/>
          <w:bottom w:w="28" w:type="dxa"/>
          <w:right w:w="28" w:type="dxa"/>
        </w:tblCellMar>
      </w:tblPr>
      <w:tblGrid>
        <w:gridCol w:w="1518"/>
        <w:gridCol w:w="1272"/>
        <w:gridCol w:w="1276"/>
        <w:gridCol w:w="675"/>
        <w:gridCol w:w="676"/>
        <w:gridCol w:w="242"/>
        <w:gridCol w:w="548"/>
        <w:gridCol w:w="548"/>
        <w:gridCol w:w="246"/>
        <w:gridCol w:w="393"/>
        <w:gridCol w:w="393"/>
        <w:gridCol w:w="250"/>
        <w:gridCol w:w="668"/>
        <w:gridCol w:w="616"/>
        <w:gridCol w:w="884"/>
      </w:tblGrid>
      <w:tr>
        <w:trPr/>
        <w:tc>
          <w:tcPr>
            <w:tcW w:w="1518"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r>
      <w:tr>
        <w:trPr/>
        <w:tc>
          <w:tcPr>
            <w:tcW w:w="40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6"/>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Quantity</w:t>
            </w:r>
          </w:p>
        </w:tc>
        <w:tc>
          <w:tcPr>
            <w:tcW w:w="3204" w:type="dxa"/>
            <w:gridSpan w:val="6"/>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In US$ (thousands)</w:t>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Class A</w:t>
            </w:r>
          </w:p>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Shares</w:t>
            </w:r>
          </w:p>
        </w:tc>
        <w:tc>
          <w:tcPr>
            <w:tcW w:w="13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Class B</w:t>
            </w:r>
          </w:p>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Shares</w:t>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Share</w:t>
              <w:br/>
              <w:t>capital</w:t>
            </w:r>
          </w:p>
        </w:tc>
        <w:tc>
          <w:tcPr>
            <w:tcW w:w="21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Other contributed capital</w:t>
            </w:r>
          </w:p>
        </w:tc>
      </w:tr>
      <w:tr>
        <w:trPr/>
        <w:tc>
          <w:tcPr>
            <w:tcW w:w="4066" w:type="dxa"/>
            <w:gridSpan w:val="3"/>
            <w:tcBorders/>
            <w:shd w:fill="DBDBDB" w:val="clear"/>
            <w:tcMar>
              <w:top w:w="0" w:type="dxa"/>
              <w:left w:w="0" w:type="dxa"/>
              <w:bottom w:w="0" w:type="dxa"/>
              <w:right w:w="0" w:type="dxa"/>
            </w:tcMar>
            <w:vAlign w:val="center"/>
          </w:tcPr>
          <w:p>
            <w:pPr>
              <w:pStyle w:val="TableContents"/>
              <w:bidi w:val="0"/>
              <w:spacing w:lineRule="auto" w:line="240" w:before="0" w:after="2"/>
              <w:jc w:val="left"/>
              <w:rPr>
                <w:rFonts w:ascii="Times New Roman;serif" w:hAnsi="Times New Roman;serif"/>
                <w:b/>
                <w:color w:val="000000"/>
                <w:sz w:val="20"/>
              </w:rPr>
            </w:pPr>
            <w:r>
              <w:rPr>
                <w:rFonts w:ascii="Times New Roman;serif" w:hAnsi="Times New Roman;serif"/>
                <w:b/>
                <w:color w:val="000000"/>
                <w:sz w:val="20"/>
              </w:rPr>
              <w:t>Balance as of January 1, 2026</w:t>
            </w:r>
          </w:p>
        </w:tc>
        <w:tc>
          <w:tcPr>
            <w:tcW w:w="135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2,745,232,339</w:t>
            </w:r>
            <w:r>
              <w:rPr>
                <w:color w:val="000000"/>
              </w:rPr>
              <w:t> </w:t>
            </w:r>
          </w:p>
        </w:tc>
        <w:tc>
          <w:tcPr>
            <w:tcW w:w="24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29,892,575</w:t>
            </w:r>
            <w:r>
              <w:rPr>
                <w:color w:val="000000"/>
              </w:rPr>
              <w:t> </w:t>
            </w:r>
          </w:p>
        </w:tc>
        <w:tc>
          <w:tcPr>
            <w:tcW w:w="24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(27,817)</w:t>
            </w:r>
          </w:p>
        </w:tc>
        <w:tc>
          <w:tcPr>
            <w:tcW w:w="25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(4,133,458)</w:t>
            </w:r>
          </w:p>
        </w:tc>
        <w:tc>
          <w:tcPr>
            <w:tcW w:w="88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2168"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71" w:before="0" w:after="2"/>
              <w:jc w:val="left"/>
              <w:rPr/>
            </w:pPr>
            <w:r>
              <w:rPr>
                <w:rFonts w:ascii="Times New Roman;serif" w:hAnsi="Times New Roman;serif"/>
                <w:b w:val="false"/>
                <w:color w:val="000000"/>
                <w:sz w:val="20"/>
              </w:rPr>
              <w:t>Equity issuance - February</w:t>
            </w:r>
            <w:r>
              <w:rPr>
                <w:rFonts w:ascii="Times New Roman;serif" w:hAnsi="Times New Roman;serif"/>
                <w:b w:val="false"/>
                <w:color w:val="000000"/>
                <w:sz w:val="13"/>
              </w:rPr>
              <w:t>1</w:t>
            </w:r>
          </w:p>
        </w:tc>
        <w:tc>
          <w:tcPr>
            <w:tcW w:w="13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620,475,660 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(6,203)</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(379,106)</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DBDBDB" w:val="clear"/>
            <w:tcMar>
              <w:top w:w="0" w:type="dxa"/>
              <w:left w:w="0" w:type="dxa"/>
              <w:bottom w:w="0" w:type="dxa"/>
              <w:right w:w="0" w:type="dxa"/>
            </w:tcMar>
            <w:vAlign w:val="center"/>
          </w:tcPr>
          <w:p>
            <w:pPr>
              <w:pStyle w:val="TableContents"/>
              <w:bidi w:val="0"/>
              <w:spacing w:lineRule="auto" w:line="271" w:before="0" w:after="2"/>
              <w:jc w:val="left"/>
              <w:rPr/>
            </w:pPr>
            <w:r>
              <w:rPr>
                <w:rFonts w:ascii="Times New Roman;serif" w:hAnsi="Times New Roman;serif"/>
                <w:b w:val="false"/>
                <w:color w:val="000000"/>
                <w:sz w:val="20"/>
              </w:rPr>
              <w:t>Equity issuance - March</w:t>
            </w:r>
            <w:r>
              <w:rPr>
                <w:rFonts w:ascii="Times New Roman;serif" w:hAnsi="Times New Roman;serif"/>
                <w:b w:val="false"/>
                <w:color w:val="000000"/>
                <w:sz w:val="13"/>
              </w:rPr>
              <w:t>1</w:t>
            </w:r>
          </w:p>
        </w:tc>
        <w:tc>
          <w:tcPr>
            <w:tcW w:w="135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465,356,730 </w:t>
            </w:r>
          </w:p>
        </w:tc>
        <w:tc>
          <w:tcPr>
            <w:tcW w:w="2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(4,654)</w:t>
            </w:r>
          </w:p>
        </w:tc>
        <w:tc>
          <w:tcPr>
            <w:tcW w:w="2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(289,911)</w:t>
            </w:r>
          </w:p>
        </w:tc>
        <w:tc>
          <w:tcPr>
            <w:tcW w:w="8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71" w:before="0" w:after="2"/>
              <w:jc w:val="left"/>
              <w:rPr>
                <w:rFonts w:ascii="Times New Roman;serif" w:hAnsi="Times New Roman;serif"/>
                <w:b w:val="false"/>
                <w:color w:val="000000"/>
                <w:sz w:val="20"/>
              </w:rPr>
            </w:pPr>
            <w:r>
              <w:rPr>
                <w:rFonts w:ascii="Times New Roman;serif" w:hAnsi="Times New Roman;serif"/>
                <w:b w:val="false"/>
                <w:color w:val="000000"/>
                <w:sz w:val="20"/>
              </w:rPr>
              <w:t>Equity-settled share-based payment</w:t>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1,661,490 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(3,350)</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DBDBDB" w:val="clear"/>
            <w:tcMar>
              <w:top w:w="0" w:type="dxa"/>
              <w:left w:w="0" w:type="dxa"/>
              <w:bottom w:w="0" w:type="dxa"/>
              <w:right w:w="0" w:type="dxa"/>
            </w:tcMar>
            <w:vAlign w:val="center"/>
          </w:tcPr>
          <w:p>
            <w:pPr>
              <w:pStyle w:val="TableContents"/>
              <w:bidi w:val="0"/>
              <w:spacing w:lineRule="auto" w:line="271" w:before="0" w:after="2"/>
              <w:jc w:val="left"/>
              <w:rPr/>
            </w:pPr>
            <w:r>
              <w:rPr>
                <w:rFonts w:ascii="Times New Roman;serif" w:hAnsi="Times New Roman;serif"/>
                <w:b w:val="false"/>
                <w:color w:val="000000"/>
                <w:sz w:val="20"/>
              </w:rPr>
              <w:t>Debt-to-equity conversion - Snita Term Loan Facility</w:t>
            </w:r>
            <w:r>
              <w:rPr>
                <w:rFonts w:ascii="Times New Roman;serif" w:hAnsi="Times New Roman;serif"/>
                <w:b w:val="false"/>
                <w:color w:val="000000"/>
                <w:sz w:val="13"/>
              </w:rPr>
              <w:t>2</w:t>
            </w:r>
          </w:p>
        </w:tc>
        <w:tc>
          <w:tcPr>
            <w:tcW w:w="135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600,429,000 </w:t>
            </w:r>
          </w:p>
        </w:tc>
        <w:tc>
          <w:tcPr>
            <w:tcW w:w="2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(6,004)</w:t>
            </w:r>
          </w:p>
        </w:tc>
        <w:tc>
          <w:tcPr>
            <w:tcW w:w="2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(335,253)</w:t>
            </w:r>
          </w:p>
        </w:tc>
        <w:tc>
          <w:tcPr>
            <w:tcW w:w="8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71" w:before="0" w:after="2"/>
              <w:jc w:val="left"/>
              <w:rPr/>
            </w:pPr>
            <w:r>
              <w:rPr>
                <w:rFonts w:ascii="Times New Roman;serif" w:hAnsi="Times New Roman;serif"/>
                <w:b w:val="false"/>
                <w:color w:val="000000"/>
                <w:sz w:val="20"/>
              </w:rPr>
              <w:t>Debt-to-equity conversion - Geely Term Loan Facility</w:t>
            </w:r>
            <w:r>
              <w:rPr>
                <w:rFonts w:ascii="Times New Roman;serif" w:hAnsi="Times New Roman;serif"/>
                <w:b w:val="false"/>
                <w:color w:val="000000"/>
                <w:sz w:val="13"/>
              </w:rPr>
              <w:t>2</w:t>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465,356,760 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(4,654)</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(295,346)</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DBDBDB" w:val="clear"/>
            <w:tcMar>
              <w:top w:w="0" w:type="dxa"/>
              <w:left w:w="0" w:type="dxa"/>
              <w:bottom w:w="0" w:type="dxa"/>
              <w:right w:w="0" w:type="dxa"/>
            </w:tcMar>
            <w:vAlign w:val="center"/>
          </w:tcPr>
          <w:p>
            <w:pPr>
              <w:pStyle w:val="TableContents"/>
              <w:bidi w:val="0"/>
              <w:spacing w:lineRule="auto" w:line="271" w:before="0" w:after="2"/>
              <w:jc w:val="left"/>
              <w:rPr/>
            </w:pPr>
            <w:r>
              <w:rPr>
                <w:rFonts w:ascii="Times New Roman;serif" w:hAnsi="Times New Roman;serif"/>
                <w:b w:val="false"/>
                <w:color w:val="000000"/>
                <w:sz w:val="20"/>
              </w:rPr>
              <w:t>Cancellation of surplus shares</w:t>
            </w:r>
            <w:r>
              <w:rPr>
                <w:rFonts w:ascii="Times New Roman;serif" w:hAnsi="Times New Roman;serif"/>
                <w:b w:val="false"/>
                <w:color w:val="000000"/>
                <w:sz w:val="13"/>
              </w:rPr>
              <w:t>3</w:t>
            </w:r>
            <w:r>
              <w:rPr>
                <w:color w:val="000000"/>
              </w:rPr>
              <w:t xml:space="preserve"> </w:t>
            </w:r>
          </w:p>
        </w:tc>
        <w:tc>
          <w:tcPr>
            <w:tcW w:w="135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(679)</w:t>
            </w:r>
          </w:p>
        </w:tc>
        <w:tc>
          <w:tcPr>
            <w:tcW w:w="2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8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13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4,898,511,300</w:t>
            </w:r>
            <w:r>
              <w:rPr>
                <w:color w:val="000000"/>
              </w:rPr>
              <w:t>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29,892,570</w:t>
            </w: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(49,349)</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(5,436,424)</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Balance as of January 1, 2025</w:t>
            </w:r>
          </w:p>
        </w:tc>
        <w:tc>
          <w:tcPr>
            <w:tcW w:w="13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2,060,461,997</w:t>
            </w:r>
            <w:r>
              <w:rPr>
                <w:color w:val="000000"/>
              </w:rPr>
              <w:t>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49,892,575</w:t>
            </w: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(21,169)</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(3,625,027)</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Securities Purchase Agreement</w:t>
            </w:r>
          </w:p>
        </w:tc>
        <w:tc>
          <w:tcPr>
            <w:tcW w:w="135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4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4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5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(200,000)</w:t>
            </w:r>
          </w:p>
        </w:tc>
        <w:tc>
          <w:tcPr>
            <w:tcW w:w="88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Equity-settled share-based payment</w:t>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8,937,392 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(5,406)</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Related party capital contribution</w:t>
            </w:r>
          </w:p>
        </w:tc>
        <w:tc>
          <w:tcPr>
            <w:tcW w:w="135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(15,265)</w:t>
            </w:r>
          </w:p>
        </w:tc>
        <w:tc>
          <w:tcPr>
            <w:tcW w:w="8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Balance as of June 30, 2025</w:t>
            </w:r>
          </w:p>
        </w:tc>
        <w:tc>
          <w:tcPr>
            <w:tcW w:w="135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2,069,399,389</w:t>
            </w:r>
            <w:r>
              <w:rPr>
                <w:color w:val="000000"/>
              </w:rPr>
              <w:t> </w:t>
            </w:r>
          </w:p>
        </w:tc>
        <w:tc>
          <w:tcPr>
            <w:tcW w:w="24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49,892,575</w:t>
            </w:r>
            <w:r>
              <w:rPr>
                <w:color w:val="000000"/>
              </w:rPr>
              <w:t> </w:t>
            </w:r>
          </w:p>
        </w:tc>
        <w:tc>
          <w:tcPr>
            <w:tcW w:w="2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(21,258)</w:t>
            </w:r>
          </w:p>
        </w:tc>
        <w:tc>
          <w:tcPr>
            <w:tcW w:w="2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(3,845,698)</w:t>
            </w:r>
          </w:p>
        </w:tc>
        <w:tc>
          <w:tcPr>
            <w:tcW w:w="88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pPr>
      <w:r>
        <w:rPr>
          <w:rFonts w:ascii="Times New Roman;serif" w:hAnsi="Times New Roman;serif"/>
          <w:b w:val="false"/>
          <w:color w:val="000000"/>
          <w:sz w:val="16"/>
        </w:rPr>
        <w:t xml:space="preserve">1 - Refer to </w:t>
      </w:r>
      <w:r>
        <w:rPr>
          <w:rFonts w:ascii="Times New Roman;serif" w:hAnsi="Times New Roman;serif"/>
          <w:b w:val="false"/>
          <w:i/>
          <w:color w:val="000000"/>
          <w:sz w:val="16"/>
        </w:rPr>
        <w:t>Equity issuances</w:t>
      </w:r>
      <w:r>
        <w:rPr>
          <w:color w:val="000000"/>
        </w:rPr>
        <w:t xml:space="preserve"> </w:t>
      </w:r>
      <w:r>
        <w:rPr>
          <w:rFonts w:ascii="Times New Roman;serif" w:hAnsi="Times New Roman;serif"/>
          <w:b w:val="false"/>
          <w:color w:val="000000"/>
          <w:sz w:val="16"/>
        </w:rPr>
        <w:t>below for further information.</w:t>
      </w:r>
    </w:p>
    <w:p>
      <w:pPr>
        <w:pStyle w:val="TextBody"/>
        <w:bidi w:val="0"/>
        <w:spacing w:lineRule="auto" w:line="240" w:before="60" w:after="283"/>
        <w:jc w:val="both"/>
        <w:rPr/>
      </w:pPr>
      <w:r>
        <w:rPr>
          <w:rFonts w:ascii="Times New Roman;serif" w:hAnsi="Times New Roman;serif"/>
          <w:b w:val="false"/>
          <w:color w:val="000000"/>
          <w:sz w:val="16"/>
        </w:rPr>
        <w:t xml:space="preserve">2 - Refer to </w:t>
      </w:r>
      <w:r>
        <w:rPr>
          <w:rFonts w:ascii="Times New Roman;serif" w:hAnsi="Times New Roman;serif"/>
          <w:b w:val="false"/>
          <w:i/>
          <w:color w:val="000000"/>
          <w:sz w:val="16"/>
        </w:rPr>
        <w:t>Related party debt-to-equity conversions</w:t>
      </w:r>
      <w:r>
        <w:rPr>
          <w:color w:val="000000"/>
        </w:rPr>
        <w:t xml:space="preserve"> </w:t>
      </w:r>
      <w:r>
        <w:rPr>
          <w:rFonts w:ascii="Times New Roman;serif" w:hAnsi="Times New Roman;serif"/>
          <w:b w:val="false"/>
          <w:color w:val="000000"/>
          <w:sz w:val="16"/>
        </w:rPr>
        <w:t>below for further information.</w:t>
      </w:r>
    </w:p>
    <w:p>
      <w:pPr>
        <w:pStyle w:val="TextBody"/>
        <w:bidi w:val="0"/>
        <w:spacing w:lineRule="auto" w:line="240" w:before="60" w:after="283"/>
        <w:jc w:val="both"/>
        <w:rPr>
          <w:rFonts w:ascii="Times New Roman;serif" w:hAnsi="Times New Roman;serif"/>
          <w:b w:val="false"/>
          <w:color w:val="000000"/>
          <w:sz w:val="16"/>
        </w:rPr>
      </w:pPr>
      <w:r>
        <w:rPr>
          <w:rFonts w:ascii="Times New Roman;serif" w:hAnsi="Times New Roman;serif"/>
          <w:b w:val="false"/>
          <w:color w:val="000000"/>
          <w:sz w:val="16"/>
        </w:rPr>
        <w:t>3 - Related to surplus ordinary shares resulting from the prior year ADS ratio change being transferred to the Company for no consideration and cancelled.</w:t>
      </w:r>
    </w:p>
    <w:p>
      <w:pPr>
        <w:pStyle w:val="TextBody"/>
        <w:bidi w:val="0"/>
        <w:spacing w:lineRule="auto" w:line="240" w:before="320" w:after="283"/>
        <w:jc w:val="both"/>
        <w:rPr>
          <w:rFonts w:ascii="Times New Roman;serif" w:hAnsi="Times New Roman;serif"/>
          <w:b/>
          <w:color w:val="000000"/>
          <w:sz w:val="20"/>
        </w:rPr>
      </w:pPr>
      <w:r>
        <w:rPr>
          <w:rFonts w:ascii="Times New Roman;serif" w:hAnsi="Times New Roman;serif"/>
          <w:b/>
          <w:color w:val="000000"/>
          <w:sz w:val="20"/>
        </w:rPr>
        <w:t xml:space="preserve">Equity issuances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On February 2, 2026, Polestar entered into a Securities Purchase Agreement with each of Feathertop Funding Limited, a special purpose vehicle consolidated to Sumitomo Mitsui Banking Corporation, and Standard Chartered Bank (Hong Kong) Limited (each, a "Purchaser" and collectively, the "Purchasers"), pursuant to which Polestar sold an aggregate of 20,682,522 Class A ADS to the Purchasers for an aggregate purchase price of $400.0 million. Neither Purchaser owned more than 10% of the outstanding equity of Polestar following the closing. The price per Class A ADS was $19.34.</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March 16, 2026, Polestar entered into a Securities Purchase Agreement with four separate purchasers, including Crédit Agricole Corporate and Investment Bank, Vida Finance S.A., Innovator Limited and Proximastar Holdings Company Limited (each, a "Purchaser" and collectively, the "Purchasers"), pursuant to which Polestar sold an aggregate of 15,511,891 Class A ADS to the Purchasers for an aggregate purchase price of $300.0 million. No Purchaser owned more than 5% of the outstanding equity of Polestar following the closing. The price per Class A ADS was $19.34.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60655"/>
                <wp:effectExtent l="0" t="0" r="0" b="0"/>
                <wp:wrapNone/>
                <wp:docPr id="48" name="Frame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2"/>
                              <w:jc w:val="center"/>
                              <w:rPr>
                                <w:rFonts w:ascii="Times New Roman;serif" w:hAnsi="Times New Roman;serif"/>
                                <w:b w:val="false"/>
                                <w:color w:val="000000"/>
                                <w:sz w:val="22"/>
                              </w:rPr>
                            </w:pPr>
                            <w:r>
                              <w:rPr>
                                <w:rFonts w:ascii="Times New Roman;serif" w:hAnsi="Times New Roman;serif"/>
                                <w:b w:val="false"/>
                                <w:color w:val="000000"/>
                                <w:sz w:val="22"/>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
                        <w:jc w:val="center"/>
                        <w:rPr>
                          <w:rFonts w:ascii="Times New Roman;serif" w:hAnsi="Times New Roman;serif"/>
                          <w:b w:val="false"/>
                          <w:color w:val="000000"/>
                          <w:sz w:val="22"/>
                        </w:rPr>
                      </w:pPr>
                      <w:r>
                        <w:rPr>
                          <w:rFonts w:ascii="Times New Roman;serif" w:hAnsi="Times New Roman;serif"/>
                          <w:b w:val="false"/>
                          <w:color w:val="000000"/>
                          <w:sz w:val="22"/>
                        </w:rPr>
                        <w:t>F-21</w:t>
                      </w:r>
                    </w:p>
                  </w:txbxContent>
                </v:textbox>
                <w10:wrap type="none"/>
              </v:rect>
            </w:pict>
          </mc:Fallback>
        </mc:AlternateContent>
      </w:r>
    </w:p>
    <w:p>
      <w:pPr>
        <w:pStyle w:val="TextBody"/>
        <w:bidi w:val="0"/>
        <w:spacing w:lineRule="auto" w:line="240" w:before="0" w:after="0"/>
        <w:jc w:val="center"/>
        <w:rPr>
          <w:rFonts w:ascii="Times New Roman;serif" w:hAnsi="Times New Roman;serif"/>
          <w:b w:val="false"/>
          <w:color w:val="B6B6B6"/>
          <w:sz w:val="18"/>
        </w:rPr>
      </w:pPr>
      <w:r>
        <w:rPr>
          <w:rFonts w:ascii="Times New Roman;serif" w:hAnsi="Times New Roman;serif"/>
          <w:b w:val="false"/>
          <w:color w:val="B6B6B6"/>
          <w:sz w:val="18"/>
        </w:rPr>
        <w:t>Notes to the Unaudited Condensed Consolidated Interim Financial Statements</w:t>
      </w:r>
    </w:p>
    <w:p>
      <w:pPr>
        <w:pStyle w:val="TextBody"/>
        <w:bidi w:val="0"/>
        <w:spacing w:lineRule="auto" w:line="319" w:before="0" w:after="2"/>
        <w:jc w:val="center"/>
        <w:rPr>
          <w:rFonts w:ascii="Times New Roman;serif" w:hAnsi="Times New Roman;serif"/>
          <w:b w:val="false"/>
          <w:color w:val="B6B6B6"/>
          <w:sz w:val="18"/>
        </w:rPr>
      </w:pPr>
      <w:r>
        <w:rPr>
          <w:rFonts w:ascii="Times New Roman;serif" w:hAnsi="Times New Roman;serif"/>
          <w:b w:val="false"/>
          <w:color w:val="B6B6B6"/>
          <w:sz w:val="18"/>
        </w:rPr>
        <w:t>(in thousands of U.S. dollars unless otherwise stated)</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parallel to these transactions, entities controlled by Polestar Group's ultimate controlling shareholder (related parties) entered into put option arrangements with the third party investors which allow the investors to sell the Class A ADSs acquired from Polestar to the related parties during an exercise period at the end of the term of the put option at a pre-determined price to the extent the investor has not disposed of such Class A ADSs before then. Polestar is not party to these contracts and has no obligation under them. However, these contracts were necessary to enable the transaction to close with the terms that it did, including a price per share above the market price on the date of the transactions, and, therefore, Polestar indirectly benefited from them. Polestar concluded that the related parties were acting as its shareholders by making these arrangements for its benefit and therefore accounted for this support as a capital contribution with a fair value of $453.5 million. </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Related party debt-to-equity conversions</w:t>
      </w:r>
    </w:p>
    <w:p>
      <w:pPr>
        <w:pStyle w:val="TextBody"/>
        <w:bidi w:val="0"/>
        <w:spacing w:lineRule="auto" w:line="240" w:before="120" w:after="283"/>
        <w:jc w:val="both"/>
        <w:rPr/>
      </w:pPr>
      <w:r>
        <w:rPr>
          <w:rFonts w:ascii="Times New Roman;serif" w:hAnsi="Times New Roman;serif"/>
          <w:b w:val="false"/>
          <w:color w:val="000000"/>
          <w:sz w:val="20"/>
        </w:rPr>
        <w:t xml:space="preserve">On March 31, 2026, $275.7 million of principal under the Snita Term Loan Facility was converted into equity (for further information, see </w:t>
      </w:r>
      <w:r>
        <w:rPr>
          <w:rFonts w:ascii="Times New Roman;serif" w:hAnsi="Times New Roman;serif"/>
          <w:b w:val="false"/>
          <w:i/>
          <w:color w:val="000000"/>
          <w:sz w:val="20"/>
        </w:rPr>
        <w:t>Note 13 - Loans and borrowings</w:t>
      </w:r>
      <w:r>
        <w:rPr>
          <w:rFonts w:ascii="Times New Roman;serif" w:hAnsi="Times New Roman;serif"/>
          <w:b w:val="false"/>
          <w:i/>
          <w:color w:val="000000"/>
          <w:sz w:val="22"/>
        </w:rPr>
        <w:t>)</w:t>
      </w:r>
      <w:r>
        <w:rPr>
          <w:rFonts w:ascii="Times New Roman;serif" w:hAnsi="Times New Roman;serif"/>
          <w:b w:val="false"/>
          <w:color w:val="000000"/>
          <w:sz w:val="20"/>
        </w:rPr>
        <w:t>. The conversion resulted in the issuance of 16,150,000 Class A ADSs, each representing 30 Class A ordinary shares, or 484,500,000 Class A ordinary shares in aggregate. The contractual conversion price was $16.97 per ADS. The fair value of the ADSs issued was determined with reference to the quoted market price of the Company's ADSs immediately prior to announcement of the transaction.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30, 2026, approximately $65.6 million of additional principal under the Snita Term Loan Facility was converted into equity in accordance with the conversion agreement entered into on March 31, 2026. The conversion resulted in the issuance of 3,864,300 Class A ADSs, representing approximately 115,929,000 Class A ordinary shares. The contractual conversion price was $16.97 per ADS.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Additionally, during the second quarter of 2026, Polestar and Geely Sweden Automotive Investment AB executed a debt-to-equity conversion of $300.0 million of the outstanding principal and interest under the Geely Term Loan Facility, comprising $250 million of outstanding principal and $50 million of accrued interest. The conversion resulted in the issuance of 15,511,892 Class A ADSs, equivalent to approximately 465,356,760 Class A ordinary shares, at a contractual conversion price of $19.34 per ADS.</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Equity instrument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instruments of the Parent were issued and outstanding as of June 30, 2026:</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4,898,511,300 Class A Shares with a par value of $0.01, of which 2,950,852,470 were owned by related parties;</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29,892,570 Class B Shares with a par value of $0.01, of which all were owned by related parties;</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20,499,960 Class C-1 Shares with a par value of $0.10;</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4,499,970 Class C-2 Shares with a par value of $0.10; and</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50,000 Redeemable Preferred Shares with a par value of GBP 1.00.</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there were an additional 101,488,700 Class A Shares and 1,747,474,169 Class B Shares with par values of $0.10 authorized for issuance. No additional Class C Shares or Redeemable Preferred Shares were authorized for issuance.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Note 12 - Provisions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Changes in the Group's current and non-current provisions were as follows:</w:t>
      </w:r>
    </w:p>
    <w:tbl>
      <w:tblPr>
        <w:tblW w:w="10205" w:type="dxa"/>
        <w:jc w:val="left"/>
        <w:tblInd w:w="0" w:type="dxa"/>
        <w:tblLayout w:type="fixed"/>
        <w:tblCellMar>
          <w:top w:w="28" w:type="dxa"/>
          <w:left w:w="28" w:type="dxa"/>
          <w:bottom w:w="28" w:type="dxa"/>
          <w:right w:w="28" w:type="dxa"/>
        </w:tblCellMar>
      </w:tblPr>
      <w:tblGrid>
        <w:gridCol w:w="1549"/>
        <w:gridCol w:w="1324"/>
        <w:gridCol w:w="1329"/>
        <w:gridCol w:w="420"/>
        <w:gridCol w:w="421"/>
        <w:gridCol w:w="361"/>
        <w:gridCol w:w="520"/>
        <w:gridCol w:w="500"/>
        <w:gridCol w:w="501"/>
        <w:gridCol w:w="391"/>
        <w:gridCol w:w="391"/>
        <w:gridCol w:w="341"/>
        <w:gridCol w:w="391"/>
        <w:gridCol w:w="391"/>
        <w:gridCol w:w="226"/>
        <w:gridCol w:w="442"/>
        <w:gridCol w:w="444"/>
        <w:gridCol w:w="263"/>
      </w:tblGrid>
      <w:tr>
        <w:trPr/>
        <w:tc>
          <w:tcPr>
            <w:tcW w:w="154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42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Warranties</w:t>
            </w:r>
          </w:p>
        </w:tc>
        <w:tc>
          <w:tcPr>
            <w:tcW w:w="1521"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Employee benefits</w:t>
            </w:r>
          </w:p>
        </w:tc>
        <w:tc>
          <w:tcPr>
            <w:tcW w:w="1123" w:type="dxa"/>
            <w:gridSpan w:val="3"/>
            <w:tcBorders/>
            <w:shd w:fill="DBDBDB" w:val="clear"/>
            <w:tcMar>
              <w:top w:w="0" w:type="dxa"/>
              <w:left w:w="0" w:type="dxa"/>
              <w:bottom w:w="0" w:type="dxa"/>
              <w:right w:w="0" w:type="dxa"/>
            </w:tcMar>
            <w:vAlign w:val="center"/>
          </w:tcPr>
          <w:p>
            <w:pPr>
              <w:pStyle w:val="TableContents"/>
              <w:bidi w:val="0"/>
              <w:spacing w:lineRule="auto" w:line="268" w:before="0" w:after="2"/>
              <w:jc w:val="center"/>
              <w:rPr/>
            </w:pPr>
            <w:r>
              <w:rPr>
                <w:rFonts w:ascii="Times New Roman;serif" w:hAnsi="Times New Roman;serif"/>
                <w:b/>
                <w:color w:val="000000"/>
                <w:sz w:val="20"/>
              </w:rPr>
              <w:t>Litigation</w:t>
            </w:r>
            <w:r>
              <w:rPr>
                <w:rFonts w:ascii="Times New Roman;serif" w:hAnsi="Times New Roman;serif"/>
                <w:b/>
                <w:color w:val="000000"/>
                <w:sz w:val="12"/>
              </w:rPr>
              <w:t>1</w:t>
            </w:r>
          </w:p>
        </w:tc>
        <w:tc>
          <w:tcPr>
            <w:tcW w:w="1008" w:type="dxa"/>
            <w:gridSpan w:val="3"/>
            <w:tcBorders/>
            <w:shd w:fill="DBDBDB" w:val="clear"/>
            <w:tcMar>
              <w:top w:w="0" w:type="dxa"/>
              <w:left w:w="0" w:type="dxa"/>
              <w:bottom w:w="0" w:type="dxa"/>
              <w:right w:w="0" w:type="dxa"/>
            </w:tcMar>
            <w:vAlign w:val="center"/>
          </w:tcPr>
          <w:p>
            <w:pPr>
              <w:pStyle w:val="TableContents"/>
              <w:bidi w:val="0"/>
              <w:spacing w:lineRule="auto" w:line="268" w:before="0" w:after="2"/>
              <w:jc w:val="center"/>
              <w:rPr/>
            </w:pPr>
            <w:r>
              <w:rPr>
                <w:rFonts w:ascii="Times New Roman;serif" w:hAnsi="Times New Roman;serif"/>
                <w:b/>
                <w:color w:val="000000"/>
                <w:sz w:val="20"/>
              </w:rPr>
              <w:t>Other</w:t>
            </w:r>
            <w:r>
              <w:rPr>
                <w:rFonts w:ascii="Times New Roman;serif" w:hAnsi="Times New Roman;serif"/>
                <w:b/>
                <w:color w:val="000000"/>
                <w:sz w:val="13"/>
              </w:rPr>
              <w:t>2</w:t>
            </w:r>
          </w:p>
        </w:tc>
        <w:tc>
          <w:tcPr>
            <w:tcW w:w="1149"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202"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color w:val="000000"/>
                <w:sz w:val="20"/>
              </w:rPr>
            </w:pPr>
            <w:r>
              <w:rPr>
                <w:rFonts w:ascii="Times New Roman;serif" w:hAnsi="Times New Roman;serif"/>
                <w:b/>
                <w:color w:val="000000"/>
                <w:sz w:val="20"/>
              </w:rPr>
              <w:t>Balance as of January 1, 2026</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162,093</w:t>
            </w:r>
            <w:r>
              <w:rPr>
                <w:color w:val="000000"/>
              </w:rPr>
              <w:t>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6,416</w:t>
            </w:r>
            <w:r>
              <w:rPr>
                <w:color w:val="000000"/>
              </w:rPr>
              <w:t> </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28,999</w:t>
            </w:r>
            <w:r>
              <w:rPr>
                <w:color w:val="000000"/>
              </w:rPr>
              <w:t> </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56,819</w:t>
            </w: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254,327</w:t>
            </w:r>
            <w:r>
              <w:rPr>
                <w:color w:val="000000"/>
              </w:rPr>
              <w:t>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2"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48,715 </w:t>
            </w:r>
          </w:p>
        </w:tc>
        <w:tc>
          <w:tcPr>
            <w:tcW w:w="3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15,213 </w:t>
            </w:r>
          </w:p>
        </w:tc>
        <w:tc>
          <w:tcPr>
            <w:tcW w:w="50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58,802 </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122,730 </w:t>
            </w:r>
          </w:p>
        </w:tc>
        <w:tc>
          <w:tcPr>
            <w:tcW w:w="26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Utilization</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(54,850)</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(9,367)</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(26,372)</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(21,648)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(112,237)</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2"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Reversals</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(12,318)</w:t>
            </w:r>
          </w:p>
        </w:tc>
        <w:tc>
          <w:tcPr>
            <w:tcW w:w="3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5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(9,132)</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(21,558)</w:t>
            </w:r>
          </w:p>
        </w:tc>
        <w:tc>
          <w:tcPr>
            <w:tcW w:w="2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Unwinding of discount and effect of changes in discount rate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(983)</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(983)</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2"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differences</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(5,052)</w:t>
            </w:r>
          </w:p>
        </w:tc>
        <w:tc>
          <w:tcPr>
            <w:tcW w:w="3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(527)</w:t>
            </w:r>
          </w:p>
        </w:tc>
        <w:tc>
          <w:tcPr>
            <w:tcW w:w="5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(895)</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(6,474)</w:t>
            </w:r>
          </w:p>
        </w:tc>
        <w:tc>
          <w:tcPr>
            <w:tcW w:w="2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2"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137,605</w:t>
            </w:r>
            <w:r>
              <w:rPr>
                <w:color w:val="000000"/>
              </w:rPr>
              <w:t>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11,627</w:t>
            </w:r>
            <w:r>
              <w:rPr>
                <w:color w:val="000000"/>
              </w:rPr>
              <w:t> </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2,627</w:t>
            </w:r>
            <w:r>
              <w:rPr>
                <w:color w:val="000000"/>
              </w:rPr>
              <w:t> </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83,946</w:t>
            </w: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235,805</w:t>
            </w:r>
            <w:r>
              <w:rPr>
                <w:color w:val="000000"/>
              </w:rPr>
              <w:t>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2"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of which current</w:t>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37,627 </w:t>
            </w:r>
          </w:p>
        </w:tc>
        <w:tc>
          <w:tcPr>
            <w:tcW w:w="3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11,627 </w:t>
            </w:r>
          </w:p>
        </w:tc>
        <w:tc>
          <w:tcPr>
            <w:tcW w:w="50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2,627 </w:t>
            </w:r>
          </w:p>
        </w:tc>
        <w:tc>
          <w:tcPr>
            <w:tcW w:w="3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63,432 </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115,313 </w:t>
            </w:r>
          </w:p>
        </w:tc>
        <w:tc>
          <w:tcPr>
            <w:tcW w:w="26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of which non-current</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99,978 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20,514 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120,492 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2"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color w:val="000000"/>
                <w:sz w:val="20"/>
              </w:rPr>
            </w:pPr>
            <w:r>
              <w:rPr>
                <w:rFonts w:ascii="Times New Roman;serif" w:hAnsi="Times New Roman;serif"/>
                <w:b/>
                <w:color w:val="000000"/>
                <w:sz w:val="20"/>
              </w:rPr>
              <w:t>Balance as of January 1, 2025</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128,591</w:t>
            </w:r>
            <w:r>
              <w:rPr>
                <w:color w:val="000000"/>
              </w:rPr>
              <w:t>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902</w:t>
            </w:r>
            <w:r>
              <w:rPr>
                <w:color w:val="000000"/>
              </w:rPr>
              <w:t> </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27,135</w:t>
            </w:r>
            <w:r>
              <w:rPr>
                <w:color w:val="000000"/>
              </w:rPr>
              <w:t> </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10,898</w:t>
            </w: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167,526</w:t>
            </w:r>
            <w:r>
              <w:rPr>
                <w:color w:val="000000"/>
              </w:rPr>
              <w:t>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2" w:type="dxa"/>
            <w:gridSpan w:val="3"/>
            <w:tcBorders/>
            <w:shd w:fill="DBDBDB"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56,724 </w:t>
            </w:r>
          </w:p>
        </w:tc>
        <w:tc>
          <w:tcPr>
            <w:tcW w:w="3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5,373 </w:t>
            </w:r>
          </w:p>
        </w:tc>
        <w:tc>
          <w:tcPr>
            <w:tcW w:w="50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31,411 </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93,508 </w:t>
            </w:r>
          </w:p>
        </w:tc>
        <w:tc>
          <w:tcPr>
            <w:tcW w:w="26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Utilization</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(29,439)</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(887)</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(9,951)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(40,330)</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2"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Reversals</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(15,440)</w:t>
            </w:r>
          </w:p>
        </w:tc>
        <w:tc>
          <w:tcPr>
            <w:tcW w:w="3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(648)</w:t>
            </w:r>
          </w:p>
        </w:tc>
        <w:tc>
          <w:tcPr>
            <w:tcW w:w="5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3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(16,814)</w:t>
            </w:r>
          </w:p>
        </w:tc>
        <w:tc>
          <w:tcPr>
            <w:tcW w:w="2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Unwinding of discount and effect of changes in discount rate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(456)</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(456)</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2"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differences</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13,367 </w:t>
            </w:r>
          </w:p>
        </w:tc>
        <w:tc>
          <w:tcPr>
            <w:tcW w:w="3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5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1,267 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15,531 </w:t>
            </w:r>
          </w:p>
        </w:tc>
        <w:tc>
          <w:tcPr>
            <w:tcW w:w="2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2"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color w:val="000000"/>
                <w:sz w:val="20"/>
              </w:rPr>
            </w:pPr>
            <w:r>
              <w:rPr>
                <w:rFonts w:ascii="Times New Roman;serif" w:hAnsi="Times New Roman;serif"/>
                <w:b/>
                <w:color w:val="000000"/>
                <w:sz w:val="20"/>
              </w:rPr>
              <w:t>Balance as of June 30, 2025</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153,347</w:t>
            </w:r>
            <w:r>
              <w:rPr>
                <w:color w:val="000000"/>
              </w:rPr>
              <w:t>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5,637</w:t>
            </w:r>
            <w:r>
              <w:rPr>
                <w:color w:val="000000"/>
              </w:rPr>
              <w:t> </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26,499</w:t>
            </w:r>
            <w:r>
              <w:rPr>
                <w:color w:val="000000"/>
              </w:rPr>
              <w:t> </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33,482</w:t>
            </w: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218,965</w:t>
            </w:r>
            <w:r>
              <w:rPr>
                <w:color w:val="000000"/>
              </w:rPr>
              <w:t>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2"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of which current</w:t>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59,702 </w:t>
            </w:r>
          </w:p>
        </w:tc>
        <w:tc>
          <w:tcPr>
            <w:tcW w:w="3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5,637 </w:t>
            </w:r>
          </w:p>
        </w:tc>
        <w:tc>
          <w:tcPr>
            <w:tcW w:w="50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26,499 </w:t>
            </w:r>
          </w:p>
        </w:tc>
        <w:tc>
          <w:tcPr>
            <w:tcW w:w="3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22,926 </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114,764 </w:t>
            </w:r>
          </w:p>
        </w:tc>
        <w:tc>
          <w:tcPr>
            <w:tcW w:w="26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of which non-current</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93,645 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10,556 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104,201 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60655"/>
                <wp:effectExtent l="0" t="0" r="0" b="0"/>
                <wp:wrapNone/>
                <wp:docPr id="49" name="Frame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2"/>
                              <w:jc w:val="center"/>
                              <w:rPr>
                                <w:rFonts w:ascii="Times New Roman;serif" w:hAnsi="Times New Roman;serif"/>
                                <w:b w:val="false"/>
                                <w:color w:val="000000"/>
                                <w:sz w:val="22"/>
                              </w:rPr>
                            </w:pPr>
                            <w:r>
                              <w:rPr>
                                <w:rFonts w:ascii="Times New Roman;serif" w:hAnsi="Times New Roman;serif"/>
                                <w:b w:val="false"/>
                                <w:color w:val="000000"/>
                                <w:sz w:val="22"/>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
                        <w:jc w:val="center"/>
                        <w:rPr>
                          <w:rFonts w:ascii="Times New Roman;serif" w:hAnsi="Times New Roman;serif"/>
                          <w:b w:val="false"/>
                          <w:color w:val="000000"/>
                          <w:sz w:val="22"/>
                        </w:rPr>
                      </w:pPr>
                      <w:r>
                        <w:rPr>
                          <w:rFonts w:ascii="Times New Roman;serif" w:hAnsi="Times New Roman;serif"/>
                          <w:b w:val="false"/>
                          <w:color w:val="000000"/>
                          <w:sz w:val="22"/>
                        </w:rPr>
                        <w:t>F-22</w:t>
                      </w:r>
                    </w:p>
                  </w:txbxContent>
                </v:textbox>
                <w10:wrap type="none"/>
              </v:rect>
            </w:pict>
          </mc:Fallback>
        </mc:AlternateContent>
      </w:r>
    </w:p>
    <w:p>
      <w:pPr>
        <w:pStyle w:val="TextBody"/>
        <w:bidi w:val="0"/>
        <w:spacing w:lineRule="auto" w:line="240" w:before="0" w:after="0"/>
        <w:jc w:val="center"/>
        <w:rPr>
          <w:rFonts w:ascii="Times New Roman;serif" w:hAnsi="Times New Roman;serif"/>
          <w:b w:val="false"/>
          <w:color w:val="B6B6B6"/>
          <w:sz w:val="18"/>
        </w:rPr>
      </w:pPr>
      <w:r>
        <w:rPr>
          <w:rFonts w:ascii="Times New Roman;serif" w:hAnsi="Times New Roman;serif"/>
          <w:b w:val="false"/>
          <w:color w:val="B6B6B6"/>
          <w:sz w:val="18"/>
        </w:rPr>
        <w:t>Notes to the Unaudited Condensed Consolidated Interim Financial Statements</w:t>
      </w:r>
    </w:p>
    <w:p>
      <w:pPr>
        <w:pStyle w:val="TextBody"/>
        <w:bidi w:val="0"/>
        <w:spacing w:lineRule="auto" w:line="319" w:before="0" w:after="2"/>
        <w:jc w:val="center"/>
        <w:rPr>
          <w:rFonts w:ascii="Times New Roman;serif" w:hAnsi="Times New Roman;serif"/>
          <w:b w:val="false"/>
          <w:color w:val="B6B6B6"/>
          <w:sz w:val="18"/>
        </w:rPr>
      </w:pPr>
      <w:r>
        <w:rPr>
          <w:rFonts w:ascii="Times New Roman;serif" w:hAnsi="Times New Roman;serif"/>
          <w:b w:val="false"/>
          <w:color w:val="B6B6B6"/>
          <w:sz w:val="18"/>
        </w:rPr>
        <w:t>(in thousands of U.S. dollars unless otherwise stated)</w:t>
      </w:r>
    </w:p>
    <w:p>
      <w:pPr>
        <w:pStyle w:val="TextBody"/>
        <w:bidi w:val="0"/>
        <w:spacing w:lineRule="auto" w:line="268" w:before="120" w:after="283"/>
        <w:jc w:val="both"/>
        <w:rPr/>
      </w:pPr>
      <w:r>
        <w:rPr>
          <w:rFonts w:ascii="Times New Roman;serif" w:hAnsi="Times New Roman;serif"/>
          <w:b w:val="false"/>
          <w:color w:val="000000"/>
          <w:sz w:val="16"/>
        </w:rPr>
        <w:t xml:space="preserve">1 - In the six months ended June 30, 2026, the utilization of $26,372 was primarily related to the settlement of the Gores Guggenheim ("GGI") litigation filed in August 2023, for which Polestar was obligated to indemnify the defendants under the terms of the Business Combination Agreement. For further information of the GGI litigation, see </w:t>
      </w:r>
      <w:r>
        <w:rPr>
          <w:rFonts w:ascii="Times New Roman;serif" w:hAnsi="Times New Roman;serif"/>
          <w:b w:val="false"/>
          <w:i/>
          <w:color w:val="000000"/>
          <w:sz w:val="16"/>
        </w:rPr>
        <w:t xml:space="preserve">Note 22 - Provisions </w:t>
      </w:r>
      <w:r>
        <w:rPr>
          <w:rFonts w:ascii="Times New Roman;serif" w:hAnsi="Times New Roman;serif"/>
          <w:b w:val="false"/>
          <w:color w:val="000000"/>
          <w:sz w:val="16"/>
        </w:rPr>
        <w:t>from the 2025 Consolidated Financial Statements.</w:t>
      </w:r>
    </w:p>
    <w:p>
      <w:pPr>
        <w:pStyle w:val="TextBody"/>
        <w:bidi w:val="0"/>
        <w:spacing w:lineRule="auto" w:line="240" w:before="60" w:after="283"/>
        <w:jc w:val="both"/>
        <w:rPr/>
      </w:pPr>
      <w:r>
        <w:rPr>
          <w:rFonts w:ascii="Times New Roman;serif" w:hAnsi="Times New Roman;serif"/>
          <w:b w:val="false"/>
          <w:color w:val="000000"/>
          <w:sz w:val="16"/>
        </w:rPr>
        <w:t xml:space="preserve">2 - In the six months ended June 30, 2026, the additions of $58,802 primarily relate to the U.S. Restructuring (refer to </w:t>
      </w:r>
      <w:r>
        <w:rPr>
          <w:rFonts w:ascii="Times New Roman;serif" w:hAnsi="Times New Roman;serif"/>
          <w:b w:val="false"/>
          <w:i/>
          <w:color w:val="000000"/>
          <w:sz w:val="16"/>
        </w:rPr>
        <w:t>Note 1 - Overview and basis of preparation</w:t>
      </w:r>
      <w:r>
        <w:rPr>
          <w:rFonts w:ascii="Times New Roman;serif" w:hAnsi="Times New Roman;serif"/>
          <w:b w:val="false"/>
          <w:color w:val="000000"/>
          <w:sz w:val="16"/>
        </w:rPr>
        <w:t>), and in the six months ended June 30, 2025, the additions of $31,411 primarily relate to provisions for restructuring initiated in 2025 (mainly the R&amp;D and Procurement departments in the UK and manufacturing in China).</w:t>
      </w:r>
    </w:p>
    <w:p>
      <w:pPr>
        <w:pStyle w:val="TextBody"/>
        <w:bidi w:val="0"/>
        <w:spacing w:before="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Note 13 - Loans and borrowings</w:t>
      </w:r>
    </w:p>
    <w:tbl>
      <w:tblPr>
        <w:tblW w:w="10205" w:type="dxa"/>
        <w:jc w:val="left"/>
        <w:tblInd w:w="0" w:type="dxa"/>
        <w:tblLayout w:type="fixed"/>
        <w:tblCellMar>
          <w:top w:w="28" w:type="dxa"/>
          <w:left w:w="28" w:type="dxa"/>
          <w:bottom w:w="28" w:type="dxa"/>
          <w:right w:w="28" w:type="dxa"/>
        </w:tblCellMar>
      </w:tblPr>
      <w:tblGrid>
        <w:gridCol w:w="919"/>
        <w:gridCol w:w="477"/>
        <w:gridCol w:w="478"/>
        <w:gridCol w:w="763"/>
        <w:gridCol w:w="439"/>
        <w:gridCol w:w="441"/>
        <w:gridCol w:w="640"/>
        <w:gridCol w:w="442"/>
        <w:gridCol w:w="443"/>
        <w:gridCol w:w="420"/>
        <w:gridCol w:w="421"/>
        <w:gridCol w:w="217"/>
        <w:gridCol w:w="567"/>
        <w:gridCol w:w="567"/>
        <w:gridCol w:w="568"/>
        <w:gridCol w:w="426"/>
        <w:gridCol w:w="427"/>
        <w:gridCol w:w="281"/>
        <w:gridCol w:w="501"/>
        <w:gridCol w:w="502"/>
        <w:gridCol w:w="266"/>
      </w:tblGrid>
      <w:tr>
        <w:trPr/>
        <w:tc>
          <w:tcPr>
            <w:tcW w:w="91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Working capital loans from banks</w:t>
            </w:r>
          </w:p>
        </w:tc>
        <w:tc>
          <w:tcPr>
            <w:tcW w:w="1525"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Convertible instruments</w:t>
            </w:r>
          </w:p>
        </w:tc>
        <w:tc>
          <w:tcPr>
            <w:tcW w:w="1058"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Club Loan</w:t>
            </w:r>
          </w:p>
        </w:tc>
        <w:tc>
          <w:tcPr>
            <w:tcW w:w="1702"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Borrowing collateralized with tooling</w:t>
            </w:r>
          </w:p>
        </w:tc>
        <w:tc>
          <w:tcPr>
            <w:tcW w:w="113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Market RCFs</w:t>
            </w:r>
          </w:p>
        </w:tc>
        <w:tc>
          <w:tcPr>
            <w:tcW w:w="1269"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Balance as of January 1, 2026</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3,250,586</w:t>
            </w:r>
            <w:r>
              <w:rPr>
                <w:color w:val="000000"/>
              </w:rPr>
              <w:t> </w:t>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1,621,975</w:t>
            </w:r>
            <w:r>
              <w:rPr>
                <w:color w:val="000000"/>
              </w:rPr>
              <w:t> </w:t>
            </w:r>
          </w:p>
        </w:tc>
        <w:tc>
          <w:tcPr>
            <w:tcW w:w="4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998,840</w:t>
            </w:r>
            <w:r>
              <w:rPr>
                <w:color w:val="000000"/>
              </w:rPr>
              <w:t>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333,696</w:t>
            </w:r>
            <w:r>
              <w:rPr>
                <w:color w:val="000000"/>
              </w:rPr>
              <w:t> </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154,808</w:t>
            </w:r>
            <w:r>
              <w:rPr>
                <w:color w:val="000000"/>
              </w:rPr>
              <w:t>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6,359,905</w:t>
            </w:r>
            <w:r>
              <w:rPr>
                <w:color w:val="000000"/>
              </w:rPr>
              <w:t>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New borrowings</w:t>
            </w:r>
          </w:p>
        </w:tc>
        <w:tc>
          <w:tcPr>
            <w:tcW w:w="120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1,600,385 </w:t>
            </w:r>
          </w:p>
        </w:tc>
        <w:tc>
          <w:tcPr>
            <w:tcW w:w="4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4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1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14,274 </w:t>
            </w:r>
          </w:p>
        </w:tc>
        <w:tc>
          <w:tcPr>
            <w:tcW w:w="56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126,542 </w:t>
            </w:r>
          </w:p>
        </w:tc>
        <w:tc>
          <w:tcPr>
            <w:tcW w:w="28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1,741,201 </w:t>
            </w:r>
          </w:p>
        </w:tc>
        <w:tc>
          <w:tcPr>
            <w:tcW w:w="26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(1,426,590)</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(13,460)</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(182,802)</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(1,622,852)</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Debt-to-equity conversion</w:t>
            </w:r>
          </w:p>
        </w:tc>
        <w:tc>
          <w:tcPr>
            <w:tcW w:w="120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(639,641)</w:t>
            </w:r>
          </w:p>
        </w:tc>
        <w:tc>
          <w:tcPr>
            <w:tcW w:w="4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(639,641)</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242424"/>
                <w:sz w:val="20"/>
              </w:rPr>
            </w:pPr>
            <w:r>
              <w:rPr>
                <w:rFonts w:ascii="Times New Roman;serif" w:hAnsi="Times New Roman;serif"/>
                <w:b w:val="false"/>
                <w:color w:val="242424"/>
                <w:sz w:val="20"/>
              </w:rPr>
              <w:t>Derecognition of debt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(1,336,256)</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(1,336,256)</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242424"/>
                <w:sz w:val="20"/>
              </w:rPr>
            </w:pPr>
            <w:r>
              <w:rPr>
                <w:rFonts w:ascii="Times New Roman;serif" w:hAnsi="Times New Roman;serif"/>
                <w:b w:val="false"/>
                <w:color w:val="242424"/>
                <w:sz w:val="20"/>
              </w:rPr>
              <w:t>Recognition of debt</w:t>
            </w:r>
          </w:p>
        </w:tc>
        <w:tc>
          <w:tcPr>
            <w:tcW w:w="120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1,336,256 </w:t>
            </w:r>
          </w:p>
        </w:tc>
        <w:tc>
          <w:tcPr>
            <w:tcW w:w="4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1,336,256 </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Debt modification</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7,776 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7,776 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Transaction costs and amortization</w:t>
            </w:r>
          </w:p>
        </w:tc>
        <w:tc>
          <w:tcPr>
            <w:tcW w:w="120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4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(1,165)</w:t>
            </w:r>
          </w:p>
        </w:tc>
        <w:tc>
          <w:tcPr>
            <w:tcW w:w="4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2,414 </w:t>
            </w:r>
          </w:p>
        </w:tc>
        <w:tc>
          <w:tcPr>
            <w:tcW w:w="2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1,888 </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79,081 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66,398 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30,688 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177,477 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Interest payments</w:t>
            </w:r>
          </w:p>
        </w:tc>
        <w:tc>
          <w:tcPr>
            <w:tcW w:w="120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(75,741)</w:t>
            </w:r>
          </w:p>
        </w:tc>
        <w:tc>
          <w:tcPr>
            <w:tcW w:w="4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(42,826)</w:t>
            </w:r>
          </w:p>
        </w:tc>
        <w:tc>
          <w:tcPr>
            <w:tcW w:w="4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(31,783)</w:t>
            </w:r>
          </w:p>
        </w:tc>
        <w:tc>
          <w:tcPr>
            <w:tcW w:w="2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(1,566)</w:t>
            </w:r>
          </w:p>
        </w:tc>
        <w:tc>
          <w:tcPr>
            <w:tcW w:w="2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(151,916)</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differences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31,572 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(11,288)</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9,152 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29,537 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120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3,459,932</w:t>
            </w:r>
            <w:r>
              <w:rPr>
                <w:color w:val="000000"/>
              </w:rPr>
              <w:t> </w:t>
            </w:r>
          </w:p>
        </w:tc>
        <w:tc>
          <w:tcPr>
            <w:tcW w:w="4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1,004,741</w:t>
            </w:r>
            <w:r>
              <w:rPr>
                <w:color w:val="000000"/>
              </w:rPr>
              <w:t> </w:t>
            </w:r>
          </w:p>
        </w:tc>
        <w:tc>
          <w:tcPr>
            <w:tcW w:w="44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988,871</w:t>
            </w:r>
            <w:r>
              <w:rPr>
                <w:color w:val="000000"/>
              </w:rPr>
              <w:t> </w:t>
            </w:r>
          </w:p>
        </w:tc>
        <w:tc>
          <w:tcPr>
            <w:tcW w:w="21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351,438</w:t>
            </w:r>
            <w:r>
              <w:rPr>
                <w:color w:val="000000"/>
              </w:rPr>
              <w:t> </w:t>
            </w:r>
          </w:p>
        </w:tc>
        <w:tc>
          <w:tcPr>
            <w:tcW w:w="56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98,393</w:t>
            </w:r>
            <w:r>
              <w:rPr>
                <w:color w:val="000000"/>
              </w:rPr>
              <w:t> </w:t>
            </w:r>
          </w:p>
        </w:tc>
        <w:tc>
          <w:tcPr>
            <w:tcW w:w="28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5,903,375</w:t>
            </w:r>
            <w:r>
              <w:rPr>
                <w:color w:val="000000"/>
              </w:rPr>
              <w:t> </w:t>
            </w:r>
          </w:p>
        </w:tc>
        <w:tc>
          <w:tcPr>
            <w:tcW w:w="26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of which current</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3,459,932 </w:t>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339,398 </w:t>
            </w:r>
          </w:p>
        </w:tc>
        <w:tc>
          <w:tcPr>
            <w:tcW w:w="4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988,871 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69,961 </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98,393 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4,956,555 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of which non-current</w:t>
            </w:r>
          </w:p>
        </w:tc>
        <w:tc>
          <w:tcPr>
            <w:tcW w:w="120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665,343 </w:t>
            </w:r>
          </w:p>
        </w:tc>
        <w:tc>
          <w:tcPr>
            <w:tcW w:w="4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281,477 </w:t>
            </w:r>
          </w:p>
        </w:tc>
        <w:tc>
          <w:tcPr>
            <w:tcW w:w="5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946,820 </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Balance as of January 1, 2025</w:t>
            </w:r>
          </w:p>
        </w:tc>
        <w:tc>
          <w:tcPr>
            <w:tcW w:w="120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2,427,194</w:t>
            </w:r>
            <w:r>
              <w:rPr>
                <w:color w:val="000000"/>
              </w:rPr>
              <w:t> </w:t>
            </w:r>
          </w:p>
        </w:tc>
        <w:tc>
          <w:tcPr>
            <w:tcW w:w="4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1,300,406</w:t>
            </w:r>
            <w:r>
              <w:rPr>
                <w:color w:val="000000"/>
              </w:rPr>
              <w:t> </w:t>
            </w:r>
          </w:p>
        </w:tc>
        <w:tc>
          <w:tcPr>
            <w:tcW w:w="44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933,175</w:t>
            </w:r>
            <w:r>
              <w:rPr>
                <w:color w:val="000000"/>
              </w:rPr>
              <w:t> </w:t>
            </w:r>
          </w:p>
        </w:tc>
        <w:tc>
          <w:tcPr>
            <w:tcW w:w="21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124,878</w:t>
            </w:r>
            <w:r>
              <w:rPr>
                <w:color w:val="000000"/>
              </w:rPr>
              <w:t> </w:t>
            </w:r>
          </w:p>
        </w:tc>
        <w:tc>
          <w:tcPr>
            <w:tcW w:w="56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153,248</w:t>
            </w:r>
            <w:r>
              <w:rPr>
                <w:color w:val="000000"/>
              </w:rPr>
              <w:t> </w:t>
            </w:r>
          </w:p>
        </w:tc>
        <w:tc>
          <w:tcPr>
            <w:tcW w:w="28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4,938,901</w:t>
            </w:r>
            <w:r>
              <w:rPr>
                <w:color w:val="000000"/>
              </w:rPr>
              <w:t> </w:t>
            </w:r>
          </w:p>
        </w:tc>
        <w:tc>
          <w:tcPr>
            <w:tcW w:w="26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New borrowings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1,782,031 </w:t>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172,208 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1,954,239 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120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(1,266,167)</w:t>
            </w:r>
          </w:p>
        </w:tc>
        <w:tc>
          <w:tcPr>
            <w:tcW w:w="4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(15,934)</w:t>
            </w:r>
          </w:p>
        </w:tc>
        <w:tc>
          <w:tcPr>
            <w:tcW w:w="5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(173,715)</w:t>
            </w:r>
          </w:p>
        </w:tc>
        <w:tc>
          <w:tcPr>
            <w:tcW w:w="2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(1,455,816)</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Transaction costs and amortization</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(786)</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1,661 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1,359 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Debt modification</w:t>
            </w:r>
          </w:p>
        </w:tc>
        <w:tc>
          <w:tcPr>
            <w:tcW w:w="120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3,225 </w:t>
            </w:r>
          </w:p>
        </w:tc>
        <w:tc>
          <w:tcPr>
            <w:tcW w:w="5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3,225 </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76,278 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58,337 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32,970 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3,785 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171,370 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Interest payments</w:t>
            </w:r>
          </w:p>
        </w:tc>
        <w:tc>
          <w:tcPr>
            <w:tcW w:w="120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(66,926)</w:t>
            </w:r>
          </w:p>
        </w:tc>
        <w:tc>
          <w:tcPr>
            <w:tcW w:w="4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(47,668)</w:t>
            </w:r>
          </w:p>
        </w:tc>
        <w:tc>
          <w:tcPr>
            <w:tcW w:w="4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(16,802)</w:t>
            </w:r>
          </w:p>
        </w:tc>
        <w:tc>
          <w:tcPr>
            <w:tcW w:w="2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(3,691)</w:t>
            </w:r>
          </w:p>
        </w:tc>
        <w:tc>
          <w:tcPr>
            <w:tcW w:w="2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(135,087)</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differences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57,697 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44,880 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2,266 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15,771 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120,614 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Balance as of June 30, 2025</w:t>
            </w:r>
          </w:p>
        </w:tc>
        <w:tc>
          <w:tcPr>
            <w:tcW w:w="120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3,010,591</w:t>
            </w:r>
            <w:r>
              <w:rPr>
                <w:color w:val="000000"/>
              </w:rPr>
              <w:t> </w:t>
            </w:r>
          </w:p>
        </w:tc>
        <w:tc>
          <w:tcPr>
            <w:tcW w:w="4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1,310,289</w:t>
            </w:r>
            <w:r>
              <w:rPr>
                <w:color w:val="000000"/>
              </w:rPr>
              <w:t> </w:t>
            </w:r>
          </w:p>
        </w:tc>
        <w:tc>
          <w:tcPr>
            <w:tcW w:w="44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995,884</w:t>
            </w:r>
            <w:r>
              <w:rPr>
                <w:color w:val="000000"/>
              </w:rPr>
              <w:t> </w:t>
            </w:r>
          </w:p>
        </w:tc>
        <w:tc>
          <w:tcPr>
            <w:tcW w:w="21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114,435</w:t>
            </w:r>
            <w:r>
              <w:rPr>
                <w:color w:val="000000"/>
              </w:rPr>
              <w:t> </w:t>
            </w:r>
          </w:p>
        </w:tc>
        <w:tc>
          <w:tcPr>
            <w:tcW w:w="56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167,606</w:t>
            </w:r>
            <w:r>
              <w:rPr>
                <w:color w:val="000000"/>
              </w:rPr>
              <w:t> </w:t>
            </w:r>
          </w:p>
        </w:tc>
        <w:tc>
          <w:tcPr>
            <w:tcW w:w="28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5,598,805</w:t>
            </w:r>
            <w:r>
              <w:rPr>
                <w:color w:val="000000"/>
              </w:rPr>
              <w:t> </w:t>
            </w:r>
          </w:p>
        </w:tc>
        <w:tc>
          <w:tcPr>
            <w:tcW w:w="26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of which current</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3,010,591 </w:t>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53,438 </w:t>
            </w:r>
          </w:p>
        </w:tc>
        <w:tc>
          <w:tcPr>
            <w:tcW w:w="4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22,107 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16,451 </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167,606 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3,270,193 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of which non-current</w:t>
            </w:r>
          </w:p>
        </w:tc>
        <w:tc>
          <w:tcPr>
            <w:tcW w:w="120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1,256,851 </w:t>
            </w:r>
          </w:p>
        </w:tc>
        <w:tc>
          <w:tcPr>
            <w:tcW w:w="4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973,777 </w:t>
            </w:r>
          </w:p>
        </w:tc>
        <w:tc>
          <w:tcPr>
            <w:tcW w:w="2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97,984 </w:t>
            </w:r>
          </w:p>
        </w:tc>
        <w:tc>
          <w:tcPr>
            <w:tcW w:w="5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2,328,612 </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Convertible instruments</w:t>
      </w:r>
    </w:p>
    <w:p>
      <w:pPr>
        <w:pStyle w:val="TextBody"/>
        <w:bidi w:val="0"/>
        <w:spacing w:lineRule="auto" w:line="240" w:before="120" w:after="283"/>
        <w:jc w:val="both"/>
        <w:rPr/>
      </w:pPr>
      <w:r>
        <w:rPr>
          <w:rFonts w:ascii="Times New Roman;serif" w:hAnsi="Times New Roman;serif"/>
          <w:b w:val="false"/>
          <w:color w:val="000000"/>
          <w:sz w:val="20"/>
        </w:rPr>
        <w:t xml:space="preserve">On March 31, 2026, the Company entered into a conversion and amendment agreement in respect of its Snita Term Loan Facility. Under the agreement, approximately $275.7 million of principal was converted into equity, resulting in the issuance of 16,150,000 ADSs representing 484,500,000 Class A ordinary shares, at a conversion price of $16.97 per ADS (for further information, see </w:t>
      </w:r>
      <w:r>
        <w:rPr>
          <w:rFonts w:ascii="Times New Roman;serif" w:hAnsi="Times New Roman;serif"/>
          <w:b w:val="false"/>
          <w:i/>
          <w:color w:val="000000"/>
          <w:sz w:val="20"/>
        </w:rPr>
        <w:t>Note 11 - Equity</w:t>
      </w:r>
      <w:r>
        <w:rPr>
          <w:rFonts w:ascii="Times New Roman;serif" w:hAnsi="Times New Roman;serif"/>
          <w:b w:val="false"/>
          <w:color w:val="000000"/>
          <w:sz w:val="20"/>
        </w:rPr>
        <w:t>). Accrued interest related to the converted portion of the loan was settled in cash. In addition, the agreement provided for a second debt-to-equity conversion which occurred on June 30, 2026, when a further approximately $65.6 million of principal was converted into equity, resulting in the issuance of approximately 3,900,000 ADSs representing approximately 115,900,000 Class A ordinary shares, at a conversion price of $16.97 per ADS.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On March 31, 2026, the Company also amended the shareholder loan to extend its maturity date from December 29, 2028 to December 31, 2031 and amend the applicable interest rate from the floating six-month SOFR rate plus 4.97% per annum to the floating six-month SOFR rate plus 5.40% per annum, effective from the next interest payment date in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60655"/>
                <wp:effectExtent l="0" t="0" r="0" b="0"/>
                <wp:wrapNone/>
                <wp:docPr id="50" name="Frame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2"/>
                              <w:jc w:val="center"/>
                              <w:rPr>
                                <w:rFonts w:ascii="Times New Roman;serif" w:hAnsi="Times New Roman;serif"/>
                                <w:b w:val="false"/>
                                <w:color w:val="000000"/>
                                <w:sz w:val="22"/>
                              </w:rPr>
                            </w:pPr>
                            <w:r>
                              <w:rPr>
                                <w:rFonts w:ascii="Times New Roman;serif" w:hAnsi="Times New Roman;serif"/>
                                <w:b w:val="false"/>
                                <w:color w:val="000000"/>
                                <w:sz w:val="22"/>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
                        <w:jc w:val="center"/>
                        <w:rPr>
                          <w:rFonts w:ascii="Times New Roman;serif" w:hAnsi="Times New Roman;serif"/>
                          <w:b w:val="false"/>
                          <w:color w:val="000000"/>
                          <w:sz w:val="22"/>
                        </w:rPr>
                      </w:pPr>
                      <w:r>
                        <w:rPr>
                          <w:rFonts w:ascii="Times New Roman;serif" w:hAnsi="Times New Roman;serif"/>
                          <w:b w:val="false"/>
                          <w:color w:val="000000"/>
                          <w:sz w:val="22"/>
                        </w:rPr>
                        <w:t>F-23</w:t>
                      </w:r>
                    </w:p>
                  </w:txbxContent>
                </v:textbox>
                <w10:wrap type="none"/>
              </v:rect>
            </w:pict>
          </mc:Fallback>
        </mc:AlternateContent>
      </w:r>
    </w:p>
    <w:p>
      <w:pPr>
        <w:pStyle w:val="TextBody"/>
        <w:bidi w:val="0"/>
        <w:spacing w:lineRule="auto" w:line="240" w:before="0" w:after="0"/>
        <w:jc w:val="center"/>
        <w:rPr>
          <w:rFonts w:ascii="Times New Roman;serif" w:hAnsi="Times New Roman;serif"/>
          <w:b w:val="false"/>
          <w:color w:val="B6B6B6"/>
          <w:sz w:val="18"/>
        </w:rPr>
      </w:pPr>
      <w:r>
        <w:rPr>
          <w:rFonts w:ascii="Times New Roman;serif" w:hAnsi="Times New Roman;serif"/>
          <w:b w:val="false"/>
          <w:color w:val="B6B6B6"/>
          <w:sz w:val="18"/>
        </w:rPr>
        <w:t>Notes to the Unaudited Condensed Consolidated Interim Financial Statements</w:t>
      </w:r>
    </w:p>
    <w:p>
      <w:pPr>
        <w:pStyle w:val="TextBody"/>
        <w:bidi w:val="0"/>
        <w:spacing w:lineRule="auto" w:line="319" w:before="0" w:after="2"/>
        <w:jc w:val="center"/>
        <w:rPr>
          <w:rFonts w:ascii="Times New Roman;serif" w:hAnsi="Times New Roman;serif"/>
          <w:b w:val="false"/>
          <w:color w:val="B6B6B6"/>
          <w:sz w:val="18"/>
        </w:rPr>
      </w:pPr>
      <w:r>
        <w:rPr>
          <w:rFonts w:ascii="Times New Roman;serif" w:hAnsi="Times New Roman;serif"/>
          <w:b w:val="false"/>
          <w:color w:val="B6B6B6"/>
          <w:sz w:val="18"/>
        </w:rPr>
        <w:t>(in thousands of U.S. dollars unless otherwise stated)</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Management concluded that the March 31, 2026 conversion and amendment constituted a substantial modification of the Snita Term Loan Facility under IFRS 9. Accordingly, the original financial liability was derecognized and the amended financial liability was recognized at fair value. The Company recognized a loss on substantial modification and extinguishment of debt of $1.6 million within finance expense during the six months ended June 30, 2026, as the fair value of the consideration transferred exceeded the carrying amount of the original financial liability immediately prior to the modification.</w:t>
      </w:r>
    </w:p>
    <w:p>
      <w:pPr>
        <w:pStyle w:val="TextBody"/>
        <w:bidi w:val="0"/>
        <w:spacing w:lineRule="auto" w:line="240" w:before="120" w:after="283"/>
        <w:jc w:val="both"/>
        <w:rPr/>
      </w:pPr>
      <w:r>
        <w:rPr>
          <w:rFonts w:ascii="Times New Roman;serif" w:hAnsi="Times New Roman;serif"/>
          <w:b w:val="false"/>
          <w:color w:val="000000"/>
          <w:sz w:val="20"/>
        </w:rPr>
        <w:t xml:space="preserve">On June 30, 2026, and upon satisfaction of the relevant closing conditions, the Company completed the previously announced conversion with Geely, originally agreed upon on December 19, 2025. An aggregate amount of $300.0 million, consisting of $250.0 million of principal and $50.0 million of accrued interest under the Geely Term Loan Facility, was converted into equity. As a result, the Company issued 15,511,892 Class A ADSs, representing 465,356,760 Class A ordinary shares, at a conversion price of $19.34 per ADS (see </w:t>
      </w:r>
      <w:r>
        <w:rPr>
          <w:rFonts w:ascii="Times New Roman;serif" w:hAnsi="Times New Roman;serif"/>
          <w:b w:val="false"/>
          <w:i/>
          <w:color w:val="000000"/>
          <w:sz w:val="20"/>
        </w:rPr>
        <w:t>Note 11 - Equity</w:t>
      </w:r>
      <w:r>
        <w:rPr>
          <w:rFonts w:ascii="Times New Roman;serif" w:hAnsi="Times New Roman;serif"/>
          <w:b w:val="false"/>
          <w:color w:val="000000"/>
          <w:sz w:val="20"/>
        </w:rPr>
        <w: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3, 2026, the Company amended its separate subordinated term loan facility with Geely, under which $300.0 million was outstanding. The amendment extended the maturity date from June 17, 2026 to June 30, 2027, increased the interest rate from Term SOFR plus 3.00% per annum to Term SOFR plus 3.20% per annum, changed the interest period from one month to three months and provided for accrued interest to be paid at maturity. Management accounted for the June 3, 2026 amendment as a repayment of the original loan and simultaneous drawdown of a new loan. The new loan was recognized at fair value, which was determined to be equivalent to the carrying amount of the original loan and, accordingly, no gain or loss was recognized.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Note 14 - Related party transactions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tables that follow show related party activity during the periods presented:</w:t>
      </w:r>
    </w:p>
    <w:p>
      <w:pPr>
        <w:pStyle w:val="TextBody"/>
        <w:bidi w:val="0"/>
        <w:spacing w:lineRule="auto" w:line="240" w:before="240" w:after="120"/>
        <w:jc w:val="both"/>
        <w:rPr>
          <w:rFonts w:ascii="Times New Roman;serif" w:hAnsi="Times New Roman;serif"/>
          <w:b/>
          <w:color w:val="000000"/>
          <w:sz w:val="20"/>
        </w:rPr>
      </w:pPr>
      <w:r>
        <w:rPr>
          <w:rFonts w:ascii="Times New Roman;serif" w:hAnsi="Times New Roman;serif"/>
          <w:b/>
          <w:color w:val="000000"/>
          <w:sz w:val="20"/>
        </w:rPr>
        <w:t>Sale of goods, services and other</w:t>
      </w:r>
    </w:p>
    <w:tbl>
      <w:tblPr>
        <w:tblW w:w="6045" w:type="dxa"/>
        <w:jc w:val="left"/>
        <w:tblInd w:w="0" w:type="dxa"/>
        <w:tblLayout w:type="fixed"/>
        <w:tblCellMar>
          <w:top w:w="28" w:type="dxa"/>
          <w:left w:w="28" w:type="dxa"/>
          <w:bottom w:w="28" w:type="dxa"/>
          <w:right w:w="28" w:type="dxa"/>
        </w:tblCellMar>
      </w:tblPr>
      <w:tblGrid>
        <w:gridCol w:w="1101"/>
        <w:gridCol w:w="971"/>
        <w:gridCol w:w="973"/>
        <w:gridCol w:w="302"/>
        <w:gridCol w:w="302"/>
        <w:gridCol w:w="834"/>
        <w:gridCol w:w="302"/>
        <w:gridCol w:w="302"/>
        <w:gridCol w:w="958"/>
      </w:tblGrid>
      <w:tr>
        <w:trPr/>
        <w:tc>
          <w:tcPr>
            <w:tcW w:w="110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6"/>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5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45"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Volvo Cars</w:t>
            </w:r>
          </w:p>
        </w:tc>
        <w:tc>
          <w:tcPr>
            <w:tcW w:w="143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74,939</w:t>
            </w:r>
          </w:p>
        </w:tc>
        <w:tc>
          <w:tcPr>
            <w:tcW w:w="156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76,635</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Ziklo Bank AB</w:t>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75,953</w:t>
            </w:r>
          </w:p>
        </w:tc>
        <w:tc>
          <w:tcPr>
            <w:tcW w:w="156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53,385</w:t>
            </w:r>
          </w:p>
        </w:tc>
      </w:tr>
      <w:tr>
        <w:trPr/>
        <w:tc>
          <w:tcPr>
            <w:tcW w:w="3045"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Polestar Times Technology</w:t>
            </w:r>
          </w:p>
        </w:tc>
        <w:tc>
          <w:tcPr>
            <w:tcW w:w="1438"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w:t>
            </w:r>
          </w:p>
        </w:tc>
        <w:tc>
          <w:tcPr>
            <w:tcW w:w="1562"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21,858</w:t>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Total revenue from related parties</w:t>
            </w:r>
          </w:p>
        </w:tc>
        <w:tc>
          <w:tcPr>
            <w:tcW w:w="14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150,892</w:t>
            </w:r>
          </w:p>
        </w:tc>
        <w:tc>
          <w:tcPr>
            <w:tcW w:w="15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151,878</w:t>
            </w:r>
          </w:p>
        </w:tc>
      </w:tr>
      <w:tr>
        <w:trPr/>
        <w:tc>
          <w:tcPr>
            <w:tcW w:w="3045"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 of total revenue</w:t>
            </w:r>
          </w:p>
        </w:tc>
        <w:tc>
          <w:tcPr>
            <w:tcW w:w="604"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11.1</w:t>
            </w:r>
            <w:r>
              <w:rPr>
                <w:color w:val="000000"/>
              </w:rPr>
              <w:t> </w:t>
            </w:r>
          </w:p>
        </w:tc>
        <w:tc>
          <w:tcPr>
            <w:tcW w:w="83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604"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10.7</w:t>
            </w:r>
            <w:r>
              <w:rPr>
                <w:color w:val="000000"/>
              </w:rPr>
              <w:t> </w:t>
            </w:r>
          </w:p>
        </w:tc>
        <w:tc>
          <w:tcPr>
            <w:tcW w:w="95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40" w:before="240" w:after="120"/>
        <w:jc w:val="both"/>
        <w:rPr>
          <w:rFonts w:ascii="Times New Roman;serif" w:hAnsi="Times New Roman;serif"/>
          <w:b/>
          <w:color w:val="000000"/>
          <w:sz w:val="20"/>
        </w:rPr>
      </w:pPr>
      <w:r>
        <w:rPr>
          <w:rFonts w:ascii="Times New Roman;serif" w:hAnsi="Times New Roman;serif"/>
          <w:b/>
          <w:color w:val="000000"/>
          <w:sz w:val="20"/>
        </w:rPr>
        <w:t>Purchases of goods, services and other</w:t>
      </w:r>
    </w:p>
    <w:tbl>
      <w:tblPr>
        <w:tblW w:w="4846" w:type="dxa"/>
        <w:jc w:val="left"/>
        <w:tblInd w:w="0" w:type="dxa"/>
        <w:tblLayout w:type="fixed"/>
        <w:tblCellMar>
          <w:top w:w="28" w:type="dxa"/>
          <w:left w:w="28" w:type="dxa"/>
          <w:bottom w:w="28" w:type="dxa"/>
          <w:right w:w="28" w:type="dxa"/>
        </w:tblCellMar>
      </w:tblPr>
      <w:tblGrid>
        <w:gridCol w:w="634"/>
        <w:gridCol w:w="559"/>
        <w:gridCol w:w="561"/>
        <w:gridCol w:w="559"/>
        <w:gridCol w:w="466"/>
        <w:gridCol w:w="466"/>
        <w:gridCol w:w="466"/>
        <w:gridCol w:w="466"/>
        <w:gridCol w:w="669"/>
      </w:tblGrid>
      <w:tr>
        <w:trPr/>
        <w:tc>
          <w:tcPr>
            <w:tcW w:w="63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2" w:type="dxa"/>
            <w:gridSpan w:val="6"/>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6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75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Volvo Cars</w:t>
            </w:r>
          </w:p>
        </w:tc>
        <w:tc>
          <w:tcPr>
            <w:tcW w:w="102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460,784 </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535,968 </w:t>
            </w:r>
          </w:p>
        </w:tc>
        <w:tc>
          <w:tcPr>
            <w:tcW w:w="66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Geely</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504,340 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405,261 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RK</w:t>
            </w:r>
          </w:p>
        </w:tc>
        <w:tc>
          <w:tcPr>
            <w:tcW w:w="1025"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151,951 </w:t>
            </w:r>
          </w:p>
        </w:tc>
        <w:tc>
          <w:tcPr>
            <w:tcW w:w="4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17,441 </w:t>
            </w:r>
          </w:p>
        </w:tc>
        <w:tc>
          <w:tcPr>
            <w:tcW w:w="6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Other related parties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3,348 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Total</w:t>
            </w:r>
          </w:p>
        </w:tc>
        <w:tc>
          <w:tcPr>
            <w:tcW w:w="1025"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1,120,423</w:t>
            </w:r>
            <w:r>
              <w:rPr>
                <w:color w:val="000000"/>
              </w:rPr>
              <w:t> </w:t>
            </w:r>
          </w:p>
        </w:tc>
        <w:tc>
          <w:tcPr>
            <w:tcW w:w="4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959,061</w:t>
            </w:r>
            <w:r>
              <w:rPr>
                <w:color w:val="000000"/>
              </w:rPr>
              <w:t> </w:t>
            </w:r>
          </w:p>
        </w:tc>
        <w:tc>
          <w:tcPr>
            <w:tcW w:w="66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60655"/>
                <wp:effectExtent l="0" t="0" r="0" b="0"/>
                <wp:wrapNone/>
                <wp:docPr id="51" name="Frame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2"/>
                              <w:jc w:val="center"/>
                              <w:rPr>
                                <w:rFonts w:ascii="Times New Roman;serif" w:hAnsi="Times New Roman;serif"/>
                                <w:b w:val="false"/>
                                <w:color w:val="000000"/>
                                <w:sz w:val="22"/>
                              </w:rPr>
                            </w:pPr>
                            <w:r>
                              <w:rPr>
                                <w:rFonts w:ascii="Times New Roman;serif" w:hAnsi="Times New Roman;serif"/>
                                <w:b w:val="false"/>
                                <w:color w:val="000000"/>
                                <w:sz w:val="22"/>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
                        <w:jc w:val="center"/>
                        <w:rPr>
                          <w:rFonts w:ascii="Times New Roman;serif" w:hAnsi="Times New Roman;serif"/>
                          <w:b w:val="false"/>
                          <w:color w:val="000000"/>
                          <w:sz w:val="22"/>
                        </w:rPr>
                      </w:pPr>
                      <w:r>
                        <w:rPr>
                          <w:rFonts w:ascii="Times New Roman;serif" w:hAnsi="Times New Roman;serif"/>
                          <w:b w:val="false"/>
                          <w:color w:val="000000"/>
                          <w:sz w:val="22"/>
                        </w:rPr>
                        <w:t>F-24</w:t>
                      </w:r>
                    </w:p>
                  </w:txbxContent>
                </v:textbox>
                <w10:wrap type="none"/>
              </v:rect>
            </w:pict>
          </mc:Fallback>
        </mc:AlternateContent>
      </w:r>
    </w:p>
    <w:p>
      <w:pPr>
        <w:pStyle w:val="TextBody"/>
        <w:bidi w:val="0"/>
        <w:spacing w:lineRule="auto" w:line="240" w:before="0" w:after="0"/>
        <w:jc w:val="center"/>
        <w:rPr>
          <w:rFonts w:ascii="Times New Roman;serif" w:hAnsi="Times New Roman;serif"/>
          <w:b w:val="false"/>
          <w:color w:val="B6B6B6"/>
          <w:sz w:val="18"/>
        </w:rPr>
      </w:pPr>
      <w:r>
        <w:rPr>
          <w:rFonts w:ascii="Times New Roman;serif" w:hAnsi="Times New Roman;serif"/>
          <w:b w:val="false"/>
          <w:color w:val="B6B6B6"/>
          <w:sz w:val="18"/>
        </w:rPr>
        <w:t>Notes to the Unaudited Condensed Consolidated Interim Financial Statements</w:t>
      </w:r>
    </w:p>
    <w:p>
      <w:pPr>
        <w:pStyle w:val="TextBody"/>
        <w:bidi w:val="0"/>
        <w:spacing w:lineRule="auto" w:line="319" w:before="0" w:after="2"/>
        <w:jc w:val="center"/>
        <w:rPr>
          <w:rFonts w:ascii="Times New Roman;serif" w:hAnsi="Times New Roman;serif"/>
          <w:b w:val="false"/>
          <w:color w:val="B6B6B6"/>
          <w:sz w:val="18"/>
        </w:rPr>
      </w:pPr>
      <w:r>
        <w:rPr>
          <w:rFonts w:ascii="Times New Roman;serif" w:hAnsi="Times New Roman;serif"/>
          <w:b w:val="false"/>
          <w:color w:val="B6B6B6"/>
          <w:sz w:val="18"/>
        </w:rPr>
        <w:t>(in thousands of U.S. dollars unless otherwise stated)</w:t>
      </w:r>
    </w:p>
    <w:p>
      <w:pPr>
        <w:pStyle w:val="TextBody"/>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Related party balances</w:t>
      </w:r>
    </w:p>
    <w:tbl>
      <w:tblPr>
        <w:tblW w:w="10205" w:type="dxa"/>
        <w:jc w:val="left"/>
        <w:tblInd w:w="0" w:type="dxa"/>
        <w:tblLayout w:type="fixed"/>
        <w:tblCellMar>
          <w:top w:w="28" w:type="dxa"/>
          <w:left w:w="28" w:type="dxa"/>
          <w:bottom w:w="28" w:type="dxa"/>
          <w:right w:w="28" w:type="dxa"/>
        </w:tblCellMar>
      </w:tblPr>
      <w:tblGrid>
        <w:gridCol w:w="860"/>
        <w:gridCol w:w="687"/>
        <w:gridCol w:w="692"/>
        <w:gridCol w:w="508"/>
        <w:gridCol w:w="513"/>
        <w:gridCol w:w="285"/>
        <w:gridCol w:w="509"/>
        <w:gridCol w:w="512"/>
        <w:gridCol w:w="201"/>
        <w:gridCol w:w="602"/>
        <w:gridCol w:w="602"/>
        <w:gridCol w:w="603"/>
        <w:gridCol w:w="382"/>
        <w:gridCol w:w="384"/>
        <w:gridCol w:w="131"/>
        <w:gridCol w:w="566"/>
        <w:gridCol w:w="440"/>
        <w:gridCol w:w="442"/>
        <w:gridCol w:w="509"/>
        <w:gridCol w:w="512"/>
        <w:gridCol w:w="265"/>
      </w:tblGrid>
      <w:tr>
        <w:trPr/>
        <w:tc>
          <w:tcPr>
            <w:tcW w:w="86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22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6" w:type="dxa"/>
            <w:gridSpan w:val="18"/>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As of June 30, 2026</w:t>
            </w:r>
          </w:p>
        </w:tc>
      </w:tr>
      <w:tr>
        <w:trPr/>
        <w:tc>
          <w:tcPr>
            <w:tcW w:w="2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Volvo Cars</w:t>
            </w:r>
          </w:p>
        </w:tc>
        <w:tc>
          <w:tcPr>
            <w:tcW w:w="12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Geely</w:t>
            </w:r>
          </w:p>
        </w:tc>
        <w:tc>
          <w:tcPr>
            <w:tcW w:w="18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Polestar Times Technology</w:t>
            </w:r>
          </w:p>
        </w:tc>
        <w:tc>
          <w:tcPr>
            <w:tcW w:w="8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RK</w:t>
            </w:r>
          </w:p>
        </w:tc>
        <w:tc>
          <w:tcPr>
            <w:tcW w:w="14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Other related parties</w:t>
            </w:r>
          </w:p>
        </w:tc>
        <w:tc>
          <w:tcPr>
            <w:tcW w:w="12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239"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Amounts due from related parties</w:t>
            </w:r>
          </w:p>
        </w:tc>
        <w:tc>
          <w:tcPr>
            <w:tcW w:w="130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Trade receivables and other receivables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79,992 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122,852 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5,246 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6,148 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214,266 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9"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2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2,918 </w:t>
            </w:r>
          </w:p>
        </w:tc>
        <w:tc>
          <w:tcPr>
            <w:tcW w:w="2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6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2,953 </w:t>
            </w:r>
          </w:p>
        </w:tc>
        <w:tc>
          <w:tcPr>
            <w:tcW w:w="2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Total</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80,027</w:t>
            </w:r>
            <w:r>
              <w:rPr>
                <w:color w:val="000000"/>
              </w:rPr>
              <w:t>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125,770</w:t>
            </w:r>
            <w:r>
              <w:rPr>
                <w:color w:val="000000"/>
              </w:rPr>
              <w:t>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28</w:t>
            </w:r>
            <w:r>
              <w:rPr>
                <w:color w:val="000000"/>
              </w:rPr>
              <w:t> </w:t>
            </w:r>
          </w:p>
        </w:tc>
        <w:tc>
          <w:tcPr>
            <w:tcW w:w="6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5,246</w:t>
            </w: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6,148</w:t>
            </w:r>
            <w:r>
              <w:rPr>
                <w:color w:val="000000"/>
              </w:rPr>
              <w:t> </w:t>
            </w:r>
          </w:p>
        </w:tc>
        <w:tc>
          <w:tcPr>
            <w:tcW w:w="4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217,219</w:t>
            </w:r>
            <w:r>
              <w:rPr>
                <w:color w:val="000000"/>
              </w:rPr>
              <w:t> </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9"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Amounts due to related parties</w:t>
            </w:r>
          </w:p>
        </w:tc>
        <w:tc>
          <w:tcPr>
            <w:tcW w:w="130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Loans and borrowings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(674,664)</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(681,531)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(46,308)</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(1,402,503)</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9"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Trade payables</w:t>
            </w:r>
          </w:p>
        </w:tc>
        <w:tc>
          <w:tcPr>
            <w:tcW w:w="102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(484,352)</w:t>
            </w:r>
          </w:p>
        </w:tc>
        <w:tc>
          <w:tcPr>
            <w:tcW w:w="2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(229,109)</w:t>
            </w:r>
          </w:p>
        </w:tc>
        <w:tc>
          <w:tcPr>
            <w:tcW w:w="2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6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(68,509)</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(3,382)</w:t>
            </w:r>
          </w:p>
        </w:tc>
        <w:tc>
          <w:tcPr>
            <w:tcW w:w="4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(785,352)</w:t>
            </w:r>
          </w:p>
        </w:tc>
        <w:tc>
          <w:tcPr>
            <w:tcW w:w="2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(54,966)</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(123,573)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(6,440)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(185,277)</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9"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02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(65,706)</w:t>
            </w:r>
          </w:p>
        </w:tc>
        <w:tc>
          <w:tcPr>
            <w:tcW w:w="2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6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(65,706)</w:t>
            </w:r>
          </w:p>
        </w:tc>
        <w:tc>
          <w:tcPr>
            <w:tcW w:w="2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(15,218)</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(4,893)</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(20,111)</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9"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Total</w:t>
            </w:r>
          </w:p>
        </w:tc>
        <w:tc>
          <w:tcPr>
            <w:tcW w:w="102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(1,294,906)</w:t>
            </w:r>
          </w:p>
        </w:tc>
        <w:tc>
          <w:tcPr>
            <w:tcW w:w="28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(1,034,213)</w:t>
            </w:r>
          </w:p>
        </w:tc>
        <w:tc>
          <w:tcPr>
            <w:tcW w:w="20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(54)</w:t>
            </w:r>
          </w:p>
        </w:tc>
        <w:tc>
          <w:tcPr>
            <w:tcW w:w="60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(74,949)</w:t>
            </w:r>
          </w:p>
        </w:tc>
        <w:tc>
          <w:tcPr>
            <w:tcW w:w="13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(54,827)</w:t>
            </w:r>
          </w:p>
        </w:tc>
        <w:tc>
          <w:tcPr>
            <w:tcW w:w="44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(2,458,949)</w:t>
            </w:r>
          </w:p>
        </w:tc>
        <w:tc>
          <w:tcPr>
            <w:tcW w:w="26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75"/>
        <w:gridCol w:w="704"/>
        <w:gridCol w:w="709"/>
        <w:gridCol w:w="509"/>
        <w:gridCol w:w="513"/>
        <w:gridCol w:w="288"/>
        <w:gridCol w:w="508"/>
        <w:gridCol w:w="514"/>
        <w:gridCol w:w="201"/>
        <w:gridCol w:w="611"/>
        <w:gridCol w:w="611"/>
        <w:gridCol w:w="613"/>
        <w:gridCol w:w="330"/>
        <w:gridCol w:w="332"/>
        <w:gridCol w:w="131"/>
        <w:gridCol w:w="568"/>
        <w:gridCol w:w="449"/>
        <w:gridCol w:w="451"/>
        <w:gridCol w:w="509"/>
        <w:gridCol w:w="513"/>
        <w:gridCol w:w="266"/>
      </w:tblGrid>
      <w:tr>
        <w:trPr/>
        <w:tc>
          <w:tcPr>
            <w:tcW w:w="87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22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7" w:type="dxa"/>
            <w:gridSpan w:val="18"/>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2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Volvo Cars</w:t>
            </w:r>
          </w:p>
        </w:tc>
        <w:tc>
          <w:tcPr>
            <w:tcW w:w="12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Geely</w:t>
            </w:r>
          </w:p>
        </w:tc>
        <w:tc>
          <w:tcPr>
            <w:tcW w:w="18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Polestar Times Technology</w:t>
            </w:r>
          </w:p>
        </w:tc>
        <w:tc>
          <w:tcPr>
            <w:tcW w:w="7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RK</w:t>
            </w:r>
          </w:p>
        </w:tc>
        <w:tc>
          <w:tcPr>
            <w:tcW w:w="14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Other related parties</w:t>
            </w:r>
          </w:p>
        </w:tc>
        <w:tc>
          <w:tcPr>
            <w:tcW w:w="12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288"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Amounts due from related parties</w:t>
            </w:r>
          </w:p>
        </w:tc>
        <w:tc>
          <w:tcPr>
            <w:tcW w:w="131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Trade receivables and other receivables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104,996 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77,017 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8,349 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7,406 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197,797 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8"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8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2,834 </w:t>
            </w:r>
          </w:p>
        </w:tc>
        <w:tc>
          <w:tcPr>
            <w:tcW w:w="2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6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2,834 </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Total</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104,996</w:t>
            </w:r>
            <w:r>
              <w:rPr>
                <w:color w:val="000000"/>
              </w:rPr>
              <w:t>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79,851</w:t>
            </w:r>
            <w:r>
              <w:rPr>
                <w:color w:val="000000"/>
              </w:rPr>
              <w:t>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29</w:t>
            </w:r>
            <w:r>
              <w:rPr>
                <w:color w:val="000000"/>
              </w:rPr>
              <w:t> </w:t>
            </w:r>
          </w:p>
        </w:tc>
        <w:tc>
          <w:tcPr>
            <w:tcW w:w="6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8,349</w:t>
            </w: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7,406</w:t>
            </w:r>
            <w:r>
              <w:rPr>
                <w:color w:val="000000"/>
              </w:rPr>
              <w:t> </w:t>
            </w:r>
          </w:p>
        </w:tc>
        <w:tc>
          <w:tcPr>
            <w:tcW w:w="4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200,631</w:t>
            </w:r>
            <w:r>
              <w:rPr>
                <w:color w:val="000000"/>
              </w:rPr>
              <w:t>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8"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Amounts due to related parties</w:t>
            </w:r>
          </w:p>
        </w:tc>
        <w:tc>
          <w:tcPr>
            <w:tcW w:w="131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Loans and borrowings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(1,020,230)</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(935,440)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(65,994)</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(2,021,664)</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8"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Trade payables</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(497,386)</w:t>
            </w:r>
          </w:p>
        </w:tc>
        <w:tc>
          <w:tcPr>
            <w:tcW w:w="28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(492,808)</w:t>
            </w:r>
          </w:p>
        </w:tc>
        <w:tc>
          <w:tcPr>
            <w:tcW w:w="2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6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(1,996)</w:t>
            </w:r>
          </w:p>
        </w:tc>
        <w:tc>
          <w:tcPr>
            <w:tcW w:w="4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(992,001)</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(160,522)</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(88,713)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(4,821)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(254,139)</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8"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(72,821)</w:t>
            </w:r>
          </w:p>
        </w:tc>
        <w:tc>
          <w:tcPr>
            <w:tcW w:w="28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6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(72,821)</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(8,098)</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(3,484)</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(11,582)</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8"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Total</w:t>
            </w:r>
          </w:p>
        </w:tc>
        <w:tc>
          <w:tcPr>
            <w:tcW w:w="1022"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(1,759,057)</w:t>
            </w:r>
          </w:p>
        </w:tc>
        <w:tc>
          <w:tcPr>
            <w:tcW w:w="28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(1,516,961)</w:t>
            </w:r>
          </w:p>
        </w:tc>
        <w:tc>
          <w:tcPr>
            <w:tcW w:w="20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(53)</w:t>
            </w:r>
          </w:p>
        </w:tc>
        <w:tc>
          <w:tcPr>
            <w:tcW w:w="61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(4,632)</w:t>
            </w:r>
          </w:p>
        </w:tc>
        <w:tc>
          <w:tcPr>
            <w:tcW w:w="13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(71,504)</w:t>
            </w:r>
          </w:p>
        </w:tc>
        <w:tc>
          <w:tcPr>
            <w:tcW w:w="45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9" w:before="0" w:after="2"/>
              <w:jc w:val="right"/>
              <w:rPr>
                <w:rFonts w:ascii="Times New Roman;serif" w:hAnsi="Times New Roman;serif"/>
                <w:b/>
                <w:color w:val="000000"/>
                <w:sz w:val="20"/>
              </w:rPr>
            </w:pPr>
            <w:r>
              <w:rPr>
                <w:rFonts w:ascii="Times New Roman;serif" w:hAnsi="Times New Roman;serif"/>
                <w:b/>
                <w:color w:val="000000"/>
                <w:sz w:val="20"/>
              </w:rPr>
              <w:t>(3,352,207)</w:t>
            </w:r>
          </w:p>
        </w:tc>
        <w:tc>
          <w:tcPr>
            <w:tcW w:w="2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
        <w:jc w:val="both"/>
        <w:rPr>
          <w:rFonts w:ascii="Times New Roman;serif" w:hAnsi="Times New Roman;serif"/>
          <w:b/>
          <w:color w:val="000000"/>
          <w:sz w:val="20"/>
        </w:rPr>
      </w:pPr>
      <w:r>
        <w:rPr>
          <w:rFonts w:ascii="Times New Roman;serif" w:hAnsi="Times New Roman;serif"/>
          <w:b/>
          <w:color w:val="000000"/>
          <w:sz w:val="20"/>
        </w:rPr>
        <w:t>Polestar 3 operational arrangements with Volvo Cars and Snita</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On March 31, 2026, the Company entered into a footprint consolidation agreement, as well as related amendments to its manufacturing, development and pricing arrangements, with Volvo Cars relating to the Polestar 3 program. With the objective of supporting and ensuring the commercial viability and sustainability of the manufacturing footprint, the agreement and related amendments provide for the consolidation of substantially all Polestar 3 manufacturing activities to be consolidated in Charleston, South Carolina, USA.</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amendments included:</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Consolidation of substantially all Polestar 3 manufacturing activities in Charleston, South Carolina.</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Amendments to specified volume commitments and manufacturing cost-sharing arrangements.</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Settlement of certain disputed development deliverables, and</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Modifications to future development and manufacturing pricing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pPr>
      <w:r>
        <w:rPr>
          <w:rFonts w:ascii="Times New Roman;serif" w:hAnsi="Times New Roman;serif"/>
          <w:b/>
          <w:color w:val="000000"/>
          <w:sz w:val="20"/>
        </w:rPr>
        <w:t>Note 15 - Commitments and contingencies</w:t>
      </w:r>
      <w:r>
        <w:rPr>
          <w:color w:val="000000"/>
          <w:shd w:fill="FFFFFF" w:val="clear"/>
        </w:rPr>
        <w:t xml:space="preserve"> </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Commitments</w:t>
      </w:r>
    </w:p>
    <w:p>
      <w:pPr>
        <w:pStyle w:val="TextBody"/>
        <w:bidi w:val="0"/>
        <w:spacing w:lineRule="auto" w:line="240" w:before="120" w:after="2"/>
        <w:jc w:val="both"/>
        <w:rPr>
          <w:rFonts w:ascii="Times New Roman;serif" w:hAnsi="Times New Roman;serif"/>
          <w:b w:val="false"/>
          <w:color w:val="000000"/>
          <w:sz w:val="20"/>
        </w:rPr>
      </w:pPr>
      <w:r>
        <w:rPr>
          <w:rFonts w:ascii="Times New Roman;serif" w:hAnsi="Times New Roman;serif"/>
          <w:b w:val="false"/>
          <w:color w:val="000000"/>
          <w:sz w:val="20"/>
        </w:rPr>
        <w:t xml:space="preserve">Polestar has contractual obligations with certain suppliers including obligations to acquire intangible assets related to development of vehicles, non-cancelable manufacturing commitments, or minimum sales volume commitments. In the event of a shortfall in manufactured vehicles or sales, or Polestar's decision to terminate such contracts, these suppliers are entitled to compensation from Polestar. The amounts in the table below represent the minimum amounts payable by Polestar under these commitments as of June 30,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60655"/>
                <wp:effectExtent l="0" t="0" r="0" b="0"/>
                <wp:wrapNone/>
                <wp:docPr id="52" name="Frame4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2"/>
                              <w:jc w:val="center"/>
                              <w:rPr>
                                <w:rFonts w:ascii="Times New Roman;serif" w:hAnsi="Times New Roman;serif"/>
                                <w:b w:val="false"/>
                                <w:color w:val="000000"/>
                                <w:sz w:val="22"/>
                              </w:rPr>
                            </w:pPr>
                            <w:r>
                              <w:rPr>
                                <w:rFonts w:ascii="Times New Roman;serif" w:hAnsi="Times New Roman;serif"/>
                                <w:b w:val="false"/>
                                <w:color w:val="000000"/>
                                <w:sz w:val="22"/>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
                        <w:jc w:val="center"/>
                        <w:rPr>
                          <w:rFonts w:ascii="Times New Roman;serif" w:hAnsi="Times New Roman;serif"/>
                          <w:b w:val="false"/>
                          <w:color w:val="000000"/>
                          <w:sz w:val="22"/>
                        </w:rPr>
                      </w:pPr>
                      <w:r>
                        <w:rPr>
                          <w:rFonts w:ascii="Times New Roman;serif" w:hAnsi="Times New Roman;serif"/>
                          <w:b w:val="false"/>
                          <w:color w:val="000000"/>
                          <w:sz w:val="22"/>
                        </w:rPr>
                        <w:t>F-25</w:t>
                      </w:r>
                    </w:p>
                  </w:txbxContent>
                </v:textbox>
                <w10:wrap type="none"/>
              </v:rect>
            </w:pict>
          </mc:Fallback>
        </mc:AlternateContent>
      </w:r>
    </w:p>
    <w:p>
      <w:pPr>
        <w:pStyle w:val="TextBody"/>
        <w:bidi w:val="0"/>
        <w:spacing w:lineRule="auto" w:line="240" w:before="0" w:after="0"/>
        <w:jc w:val="center"/>
        <w:rPr>
          <w:rFonts w:ascii="Times New Roman;serif" w:hAnsi="Times New Roman;serif"/>
          <w:b w:val="false"/>
          <w:color w:val="B6B6B6"/>
          <w:sz w:val="18"/>
        </w:rPr>
      </w:pPr>
      <w:r>
        <w:rPr>
          <w:rFonts w:ascii="Times New Roman;serif" w:hAnsi="Times New Roman;serif"/>
          <w:b w:val="false"/>
          <w:color w:val="B6B6B6"/>
          <w:sz w:val="18"/>
        </w:rPr>
        <w:t>Notes to the Unaudited Condensed Consolidated Interim Financial Statements</w:t>
      </w:r>
    </w:p>
    <w:p>
      <w:pPr>
        <w:pStyle w:val="TextBody"/>
        <w:bidi w:val="0"/>
        <w:spacing w:lineRule="auto" w:line="319" w:before="0" w:after="2"/>
        <w:jc w:val="center"/>
        <w:rPr>
          <w:rFonts w:ascii="Times New Roman;serif" w:hAnsi="Times New Roman;serif"/>
          <w:b w:val="false"/>
          <w:color w:val="B6B6B6"/>
          <w:sz w:val="18"/>
        </w:rPr>
      </w:pPr>
      <w:r>
        <w:rPr>
          <w:rFonts w:ascii="Times New Roman;serif" w:hAnsi="Times New Roman;serif"/>
          <w:b w:val="false"/>
          <w:color w:val="B6B6B6"/>
          <w:sz w:val="18"/>
        </w:rPr>
        <w:t>(in thousands of U.S. dollars unless otherwise stated)</w:t>
      </w:r>
    </w:p>
    <w:tbl>
      <w:tblPr>
        <w:tblW w:w="9135" w:type="dxa"/>
        <w:jc w:val="left"/>
        <w:tblInd w:w="0" w:type="dxa"/>
        <w:tblLayout w:type="fixed"/>
        <w:tblCellMar>
          <w:top w:w="28" w:type="dxa"/>
          <w:left w:w="28" w:type="dxa"/>
          <w:bottom w:w="28" w:type="dxa"/>
          <w:right w:w="28" w:type="dxa"/>
        </w:tblCellMar>
      </w:tblPr>
      <w:tblGrid>
        <w:gridCol w:w="1867"/>
        <w:gridCol w:w="1642"/>
        <w:gridCol w:w="1651"/>
        <w:gridCol w:w="579"/>
        <w:gridCol w:w="579"/>
        <w:gridCol w:w="582"/>
        <w:gridCol w:w="653"/>
        <w:gridCol w:w="653"/>
        <w:gridCol w:w="929"/>
      </w:tblGrid>
      <w:tr>
        <w:trPr/>
        <w:tc>
          <w:tcPr>
            <w:tcW w:w="1867"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As of June 30, 2026</w:t>
            </w:r>
          </w:p>
        </w:tc>
        <w:tc>
          <w:tcPr>
            <w:tcW w:w="2235"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Acquisition of intangible assets commitments – related parties</w:t>
            </w:r>
          </w:p>
        </w:tc>
        <w:tc>
          <w:tcPr>
            <w:tcW w:w="11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5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12,634 </w:t>
            </w:r>
          </w:p>
        </w:tc>
        <w:tc>
          <w:tcPr>
            <w:tcW w:w="9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Non-cancelable manufacturing commitments – related parties</w:t>
            </w:r>
          </w:p>
        </w:tc>
        <w:tc>
          <w:tcPr>
            <w:tcW w:w="1158"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330,889 </w:t>
            </w:r>
          </w:p>
        </w:tc>
        <w:tc>
          <w:tcPr>
            <w:tcW w:w="5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287,065 </w:t>
            </w:r>
          </w:p>
        </w:tc>
        <w:tc>
          <w:tcPr>
            <w:tcW w:w="9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PS4 license volume commitments – related parties</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57,616 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55,981 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DBDBDB"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Logistics service and other third party commitments</w:t>
            </w:r>
          </w:p>
        </w:tc>
        <w:tc>
          <w:tcPr>
            <w:tcW w:w="1158"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4,277 </w:t>
            </w:r>
          </w:p>
        </w:tc>
        <w:tc>
          <w:tcPr>
            <w:tcW w:w="5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DBDBDB" w:val="clear"/>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0"/>
              </w:rPr>
            </w:pPr>
            <w:r>
              <w:rPr>
                <w:rFonts w:ascii="Times New Roman;serif" w:hAnsi="Times New Roman;serif"/>
                <w:b w:val="false"/>
                <w:color w:val="000000"/>
                <w:sz w:val="20"/>
              </w:rPr>
              <w:t>28,022 </w:t>
            </w:r>
          </w:p>
        </w:tc>
        <w:tc>
          <w:tcPr>
            <w:tcW w:w="9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Total</w:t>
            </w:r>
          </w:p>
        </w:tc>
        <w:tc>
          <w:tcPr>
            <w:tcW w:w="115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393,566</w:t>
            </w:r>
            <w:r>
              <w:rPr>
                <w:color w:val="000000"/>
              </w:rPr>
              <w:t> </w:t>
            </w:r>
          </w:p>
        </w:tc>
        <w:tc>
          <w:tcPr>
            <w:tcW w:w="58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pPr>
            <w:r>
              <w:rPr>
                <w:rFonts w:ascii="Times New Roman;serif" w:hAnsi="Times New Roman;serif"/>
                <w:b/>
                <w:color w:val="000000"/>
                <w:sz w:val="20"/>
              </w:rPr>
              <w:t>383,702</w:t>
            </w:r>
            <w:r>
              <w:rPr>
                <w:color w:val="000000"/>
              </w:rPr>
              <w:t> </w:t>
            </w:r>
          </w:p>
        </w:tc>
        <w:tc>
          <w:tcPr>
            <w:tcW w:w="9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Contingencies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NHTSA investigation</w:t>
      </w:r>
    </w:p>
    <w:p>
      <w:pPr>
        <w:pStyle w:val="TextBody"/>
        <w:bidi w:val="0"/>
        <w:spacing w:lineRule="auto" w:line="240" w:before="120" w:after="2"/>
        <w:jc w:val="both"/>
        <w:rPr/>
      </w:pPr>
      <w:r>
        <w:rPr>
          <w:rFonts w:ascii="Times New Roman;serif" w:hAnsi="Times New Roman;serif"/>
          <w:b w:val="false"/>
          <w:color w:val="000000"/>
          <w:sz w:val="20"/>
        </w:rPr>
        <w:t>On July 18, 2025, the Office of Defects Investigation of the National Highway Traffic Safety Administration ("NHTSA") issued an information request to Polestar Automotive USA, Inc as part of a 'Recall Query'</w:t>
      </w:r>
      <w:r>
        <w:rPr>
          <w:color w:val="000000"/>
        </w:rPr>
        <w:t xml:space="preserve"> </w:t>
      </w:r>
      <w:r>
        <w:rPr>
          <w:rFonts w:ascii="Times New Roman;serif" w:hAnsi="Times New Roman;serif"/>
          <w:b w:val="false"/>
          <w:color w:val="000000"/>
          <w:sz w:val="20"/>
        </w:rPr>
        <w:t>in relation to the functioning of the rearview camera in the Polestar 2. Polestar provided its initial response to NHTSA at the end of 2025 and deployed an over-the-air software update ("OTA") to affected US customers on April 20, 2026. On August 28, 2026 NHTSA notified Polestar that it was closing the 'Recall Query' following the roll-out of the OTA.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Note 16 - Subsequent events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has evaluated events subsequent to June 30, 2026 and through September 3, 2026, the date these Unaudited Condensed Consolidated Interim Financial Statements were authorized for issuance by the Board of Directors. The following events which occurred subsequent to June 30, 2026 merited disclosure in these Unaudited Condensed Consolidated Interim Financial Statements. Management determined that no adjustments were required to the figures presented as a result of these events.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On August 21, 2026, Polestar repaid principal and interest amounts due on its maturing working capital loan for ¥1,104.5 million with Bank of China. This loan carried an interest rate of 2.4% per annum due quarterly.</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On August 21, 2026, Polestar repaid principal and interest amounts due on its maturing working capital loan for ¥980.0 million with China CITIC Bank (CITIC). This loan carried an interest rate of 2.4% per annum due quarterly.</w:t>
      </w:r>
    </w:p>
    <w:p>
      <w:pPr>
        <w:pStyle w:val="TextBody"/>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60655"/>
                <wp:effectExtent l="0" t="0" r="0" b="0"/>
                <wp:wrapNone/>
                <wp:docPr id="53" name="Frame4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2"/>
                              <w:jc w:val="center"/>
                              <w:rPr>
                                <w:rFonts w:ascii="Times New Roman;serif" w:hAnsi="Times New Roman;serif"/>
                                <w:b w:val="false"/>
                                <w:color w:val="000000"/>
                                <w:sz w:val="22"/>
                              </w:rPr>
                            </w:pPr>
                            <w:r>
                              <w:rPr>
                                <w:rFonts w:ascii="Times New Roman;serif" w:hAnsi="Times New Roman;serif"/>
                                <w:b w:val="false"/>
                                <w:color w:val="000000"/>
                                <w:sz w:val="22"/>
                              </w:rPr>
                              <w:t>F-26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
                        <w:jc w:val="center"/>
                        <w:rPr>
                          <w:rFonts w:ascii="Times New Roman;serif" w:hAnsi="Times New Roman;serif"/>
                          <w:b w:val="false"/>
                          <w:color w:val="000000"/>
                          <w:sz w:val="22"/>
                        </w:rPr>
                      </w:pPr>
                      <w:r>
                        <w:rPr>
                          <w:rFonts w:ascii="Times New Roman;serif" w:hAnsi="Times New Roman;serif"/>
                          <w:b w:val="false"/>
                          <w:color w:val="000000"/>
                          <w:sz w:val="22"/>
                        </w:rPr>
                        <w:t>F-26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3.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4.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19653</Words>
  <Characters>112860</Characters>
  <CharactersWithSpaces>130825</CharactersWithSpaces>
  <Paragraphs>3266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